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
        <w:spacing w:line="248" w:lineRule="auto"/>
      </w:pPr>
      <w:r>
        <w:rPr>
          <w:rFonts w:hint="eastAsia" w:ascii="华光行楷_CNKI" w:hAnsi="华光行楷_CNKI" w:eastAsia="华光行楷_CNKI" w:cs="华光行楷_CNKI"/>
          <w:sz w:val="55"/>
          <w:szCs w:val="55"/>
        </w:rPr>
        <w:drawing>
          <wp:anchor distT="0" distB="0" distL="114300" distR="114300" simplePos="0" relativeHeight="251718656" behindDoc="1" locked="0" layoutInCell="1" allowOverlap="1">
            <wp:simplePos x="0" y="0"/>
            <wp:positionH relativeFrom="column">
              <wp:posOffset>-1150620</wp:posOffset>
            </wp:positionH>
            <wp:positionV relativeFrom="paragraph">
              <wp:posOffset>-889000</wp:posOffset>
            </wp:positionV>
            <wp:extent cx="7664450" cy="10483850"/>
            <wp:effectExtent l="0" t="0" r="12700" b="12700"/>
            <wp:wrapNone/>
            <wp:docPr id="65" name="IM 4"/>
            <wp:cNvGraphicFramePr/>
            <a:graphic xmlns:a="http://schemas.openxmlformats.org/drawingml/2006/main">
              <a:graphicData uri="http://schemas.openxmlformats.org/drawingml/2006/picture">
                <pic:pic xmlns:pic="http://schemas.openxmlformats.org/drawingml/2006/picture">
                  <pic:nvPicPr>
                    <pic:cNvPr id="65" name="IM 4"/>
                    <pic:cNvPicPr/>
                  </pic:nvPicPr>
                  <pic:blipFill>
                    <a:blip r:embed="rId10"/>
                    <a:stretch>
                      <a:fillRect/>
                    </a:stretch>
                  </pic:blipFill>
                  <pic:spPr>
                    <a:xfrm>
                      <a:off x="0" y="0"/>
                      <a:ext cx="7664450" cy="10483850"/>
                    </a:xfrm>
                    <a:prstGeom prst="rect">
                      <a:avLst/>
                    </a:prstGeom>
                    <a:noFill/>
                    <a:ln>
                      <a:noFill/>
                    </a:ln>
                  </pic:spPr>
                </pic:pic>
              </a:graphicData>
            </a:graphic>
          </wp:anchor>
        </w:drawing>
      </w:r>
    </w:p>
    <w:p>
      <w:pPr>
        <w:pStyle w:val="5"/>
        <w:spacing w:line="248" w:lineRule="auto"/>
      </w:pPr>
    </w:p>
    <w:p>
      <w:pPr>
        <w:pStyle w:val="5"/>
        <w:spacing w:line="248" w:lineRule="auto"/>
      </w:pPr>
    </w:p>
    <w:p>
      <w:pPr>
        <w:pStyle w:val="5"/>
        <w:spacing w:line="249" w:lineRule="auto"/>
      </w:pPr>
    </w:p>
    <w:p>
      <w:pPr>
        <w:pStyle w:val="5"/>
        <w:spacing w:line="249" w:lineRule="auto"/>
      </w:pPr>
    </w:p>
    <w:p>
      <w:pPr>
        <w:keepNext w:val="0"/>
        <w:keepLines w:val="0"/>
        <w:pageBreakBefore w:val="0"/>
        <w:widowControl/>
        <w:kinsoku w:val="0"/>
        <w:wordWrap/>
        <w:overflowPunct/>
        <w:topLinePunct w:val="0"/>
        <w:autoSpaceDE w:val="0"/>
        <w:autoSpaceDN w:val="0"/>
        <w:bidi w:val="0"/>
        <w:adjustRightInd w:val="0"/>
        <w:snapToGrid w:val="0"/>
        <w:spacing w:before="176" w:line="221" w:lineRule="auto"/>
        <w:textAlignment w:val="baseline"/>
        <w:rPr>
          <w:rFonts w:hint="eastAsia" w:ascii="华光行楷_CNKI" w:hAnsi="华光行楷_CNKI" w:eastAsia="华光行楷_CNKI" w:cs="华光行楷_CNKI"/>
          <w:b/>
          <w:bCs/>
          <w:spacing w:val="17"/>
          <w:sz w:val="52"/>
          <w:szCs w:val="52"/>
          <w:lang w:val="en-US" w:eastAsia="zh-CN"/>
        </w:rPr>
      </w:pPr>
      <w:r>
        <w:rPr>
          <w:rFonts w:hint="eastAsia" w:ascii="华光行楷_CNKI" w:hAnsi="华光行楷_CNKI" w:eastAsia="华光行楷_CNKI" w:cs="华光行楷_CNKI"/>
          <w:b/>
          <w:bCs/>
          <w:spacing w:val="17"/>
          <w:sz w:val="52"/>
          <w:szCs w:val="52"/>
          <w:lang w:val="en-US" w:eastAsia="zh-CN"/>
        </w:rPr>
        <w:t>太湖创意职业技术学院</w:t>
      </w:r>
    </w:p>
    <w:p>
      <w:pPr>
        <w:keepNext w:val="0"/>
        <w:keepLines w:val="0"/>
        <w:pageBreakBefore w:val="0"/>
        <w:widowControl/>
        <w:kinsoku w:val="0"/>
        <w:wordWrap/>
        <w:overflowPunct/>
        <w:topLinePunct w:val="0"/>
        <w:autoSpaceDE w:val="0"/>
        <w:autoSpaceDN w:val="0"/>
        <w:bidi w:val="0"/>
        <w:adjustRightInd w:val="0"/>
        <w:snapToGrid w:val="0"/>
        <w:spacing w:before="0" w:after="0" w:line="240" w:lineRule="auto"/>
        <w:jc w:val="distribute"/>
        <w:textAlignment w:val="baseline"/>
        <w:rPr>
          <w:rFonts w:hint="default" w:ascii="ArialUnicodeMS" w:hAnsi="ArialUnicodeMS" w:eastAsia="方正公文小标宋"/>
          <w:b/>
          <w:bCs/>
          <w:sz w:val="48"/>
          <w:szCs w:val="48"/>
          <w:lang w:val="en-US" w:eastAsia="zh-CN"/>
        </w:rPr>
      </w:pPr>
      <w:r>
        <w:rPr>
          <w:sz w:val="20"/>
          <w:szCs w:val="22"/>
        </w:rPr>
        <mc:AlternateContent>
          <mc:Choice Requires="wps">
            <w:drawing>
              <wp:anchor distT="0" distB="0" distL="114300" distR="114300" simplePos="0" relativeHeight="251719680" behindDoc="1" locked="0" layoutInCell="1" allowOverlap="1">
                <wp:simplePos x="0" y="0"/>
                <wp:positionH relativeFrom="column">
                  <wp:posOffset>-28575</wp:posOffset>
                </wp:positionH>
                <wp:positionV relativeFrom="paragraph">
                  <wp:posOffset>336550</wp:posOffset>
                </wp:positionV>
                <wp:extent cx="604774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6047740" cy="1828800"/>
                        </a:xfrm>
                        <a:prstGeom prst="rect">
                          <a:avLst/>
                        </a:prstGeom>
                        <a:noFill/>
                        <a:ln w="6350">
                          <a:noFill/>
                        </a:ln>
                        <a:effectLst/>
                      </wps:spPr>
                      <wps:txbx>
                        <w:txbxContent>
                          <w:p>
                            <w:pPr>
                              <w:pStyle w:val="5"/>
                              <w:spacing w:line="198" w:lineRule="auto"/>
                              <w:rPr>
                                <w:rFonts w:hint="default" w:eastAsia="宋体"/>
                                <w:sz w:val="22"/>
                                <w:szCs w:val="22"/>
                                <w:lang w:val="en-US" w:eastAsia="zh-CN"/>
                              </w:rPr>
                            </w:pPr>
                            <w:r>
                              <w:rPr>
                                <w:rFonts w:hint="eastAsia"/>
                                <w:b/>
                                <w:bCs/>
                                <w:i/>
                                <w:iCs/>
                                <w:color w:val="006AB2"/>
                                <w:sz w:val="22"/>
                                <w:szCs w:val="22"/>
                              </w:rPr>
                              <w:t>Quality Report on Higher Vocational Education</w:t>
                            </w:r>
                            <w:r>
                              <w:rPr>
                                <w:rFonts w:hint="eastAsia" w:eastAsia="宋体"/>
                                <w:b/>
                                <w:bCs/>
                                <w:i/>
                                <w:iCs/>
                                <w:color w:val="006AB2"/>
                                <w:sz w:val="22"/>
                                <w:szCs w:val="22"/>
                                <w:lang w:val="en-US" w:eastAsia="zh-CN"/>
                              </w:rPr>
                              <w:t xml:space="preserve"> of Taihu Chuangyi College of Technoiogy</w:t>
                            </w:r>
                          </w:p>
                          <w:p>
                            <w:pPr>
                              <w:pStyle w:val="5"/>
                              <w:spacing w:line="243" w:lineRule="auto"/>
                              <w:rPr>
                                <w:sz w:val="19"/>
                                <w:szCs w:val="19"/>
                              </w:rPr>
                            </w:pP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25pt;margin-top:26.5pt;height:144pt;width:476.2pt;z-index:-251596800;mso-width-relative:page;mso-height-relative:page;" filled="f" stroked="f" coordsize="21600,21600" o:gfxdata="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FcaNL1gAAAAkBAAAPAAAAAAAAAAEAIAAAACIA&#10;AABkcnMvZG93bnJldi54bWxQSwECFAAUAAAACACHTuJAil9eX0QCAAB3BAAADgAAAAAAAAABACAA&#10;AAAlAQAAZHJzL2Uyb0RvYy54bWxQSwUGAAAAAAYABgBZAQAA2wUAAAAA&#10;">
                <v:fill on="f" focussize="0,0"/>
                <v:stroke on="f" weight="0.5pt"/>
                <v:imagedata o:title=""/>
                <o:lock v:ext="edit" aspectratio="f"/>
                <v:textbox style="mso-fit-shape-to-text:t;">
                  <w:txbxContent>
                    <w:p>
                      <w:pPr>
                        <w:pStyle w:val="5"/>
                        <w:spacing w:line="198" w:lineRule="auto"/>
                        <w:rPr>
                          <w:rFonts w:hint="default" w:eastAsia="宋体"/>
                          <w:sz w:val="22"/>
                          <w:szCs w:val="22"/>
                          <w:lang w:val="en-US" w:eastAsia="zh-CN"/>
                        </w:rPr>
                      </w:pPr>
                      <w:r>
                        <w:rPr>
                          <w:rFonts w:hint="eastAsia"/>
                          <w:b/>
                          <w:bCs/>
                          <w:i/>
                          <w:iCs/>
                          <w:color w:val="006AB2"/>
                          <w:sz w:val="22"/>
                          <w:szCs w:val="22"/>
                        </w:rPr>
                        <w:t>Quality Report on Higher Vocational Education</w:t>
                      </w:r>
                      <w:r>
                        <w:rPr>
                          <w:rFonts w:hint="eastAsia" w:eastAsia="宋体"/>
                          <w:b/>
                          <w:bCs/>
                          <w:i/>
                          <w:iCs/>
                          <w:color w:val="006AB2"/>
                          <w:sz w:val="22"/>
                          <w:szCs w:val="22"/>
                          <w:lang w:val="en-US" w:eastAsia="zh-CN"/>
                        </w:rPr>
                        <w:t xml:space="preserve"> of Taihu Chuangyi College of Technoiogy</w:t>
                      </w:r>
                    </w:p>
                    <w:p>
                      <w:pPr>
                        <w:pStyle w:val="5"/>
                        <w:spacing w:line="243" w:lineRule="auto"/>
                        <w:rPr>
                          <w:sz w:val="19"/>
                          <w:szCs w:val="19"/>
                        </w:rPr>
                      </w:pPr>
                    </w:p>
                  </w:txbxContent>
                </v:textbox>
              </v:shape>
            </w:pict>
          </mc:Fallback>
        </mc:AlternateContent>
      </w:r>
      <w:r>
        <w:rPr>
          <w:rFonts w:hint="eastAsia" w:ascii="方正公文小标宋" w:hAnsi="方正公文小标宋" w:eastAsia="方正公文小标宋" w:cs="方正公文小标宋"/>
          <w:b/>
          <w:bCs/>
          <w:color w:val="004488"/>
          <w:spacing w:val="11"/>
          <w:sz w:val="52"/>
          <w:szCs w:val="52"/>
        </w:rPr>
        <w:t>高等职业教育质量报告</w:t>
      </w:r>
      <w:r>
        <w:rPr>
          <w:rFonts w:hint="eastAsia" w:ascii="方正公文小标宋" w:hAnsi="方正公文小标宋" w:eastAsia="方正公文小标宋" w:cs="方正公文小标宋"/>
          <w:b/>
          <w:bCs/>
          <w:color w:val="004488"/>
          <w:spacing w:val="11"/>
          <w:sz w:val="52"/>
          <w:szCs w:val="52"/>
          <w:lang w:val="en-US" w:eastAsia="zh-CN"/>
        </w:rPr>
        <w:t>(2023年度)</w:t>
      </w:r>
    </w:p>
    <w:p>
      <w:pPr>
        <w:spacing w:line="222" w:lineRule="auto"/>
        <w:ind w:left="4321"/>
        <w:outlineLvl w:val="0"/>
        <w:rPr>
          <w:rFonts w:ascii="黑体" w:hAnsi="黑体" w:eastAsia="黑体" w:cs="黑体"/>
          <w:sz w:val="83"/>
          <w:szCs w:val="83"/>
        </w:rPr>
      </w:pPr>
    </w:p>
    <w:p>
      <w:pPr>
        <w:pStyle w:val="5"/>
        <w:spacing w:line="243" w:lineRule="auto"/>
      </w:pPr>
    </w:p>
    <w:p>
      <w:pPr>
        <w:pStyle w:val="5"/>
        <w:spacing w:line="243" w:lineRule="auto"/>
      </w:pPr>
    </w:p>
    <w:p>
      <w:pPr>
        <w:pStyle w:val="5"/>
        <w:spacing w:line="243" w:lineRule="auto"/>
      </w:pPr>
    </w:p>
    <w:p>
      <w:pPr>
        <w:pStyle w:val="5"/>
        <w:spacing w:line="243" w:lineRule="auto"/>
      </w:pPr>
    </w:p>
    <w:p>
      <w:pPr>
        <w:pStyle w:val="5"/>
        <w:spacing w:line="243" w:lineRule="auto"/>
      </w:pPr>
    </w:p>
    <w:p>
      <w:pPr>
        <w:pStyle w:val="5"/>
        <w:spacing w:line="243" w:lineRule="auto"/>
      </w:pPr>
    </w:p>
    <w:p>
      <w:pPr>
        <w:pStyle w:val="5"/>
        <w:spacing w:line="243" w:lineRule="auto"/>
      </w:pPr>
    </w:p>
    <w:p>
      <w:pPr>
        <w:pStyle w:val="5"/>
        <w:spacing w:line="243" w:lineRule="auto"/>
      </w:pPr>
    </w:p>
    <w:p>
      <w:pPr>
        <w:spacing w:line="240" w:lineRule="auto"/>
        <w:jc w:val="center"/>
        <w:rPr>
          <w:rFonts w:hint="eastAsia" w:ascii="宋体" w:hAnsi="宋体" w:eastAsia="宋体" w:cs="宋体"/>
          <w:b/>
          <w:bCs/>
          <w:sz w:val="28"/>
          <w:szCs w:val="28"/>
        </w:rPr>
      </w:pPr>
    </w:p>
    <w:p>
      <w:pPr>
        <w:spacing w:line="240" w:lineRule="auto"/>
        <w:jc w:val="center"/>
        <w:rPr>
          <w:rFonts w:hint="eastAsia" w:ascii="宋体" w:hAnsi="宋体" w:eastAsia="宋体" w:cs="宋体"/>
          <w:b/>
          <w:bCs/>
          <w:sz w:val="28"/>
          <w:szCs w:val="28"/>
        </w:rPr>
      </w:pPr>
    </w:p>
    <w:p>
      <w:pPr>
        <w:spacing w:line="240" w:lineRule="auto"/>
        <w:jc w:val="center"/>
        <w:rPr>
          <w:rFonts w:hint="eastAsia" w:ascii="宋体" w:hAnsi="宋体" w:eastAsia="宋体" w:cs="宋体"/>
          <w:b/>
          <w:bCs/>
          <w:sz w:val="28"/>
          <w:szCs w:val="28"/>
        </w:rPr>
      </w:pPr>
    </w:p>
    <w:p>
      <w:pPr>
        <w:spacing w:line="240" w:lineRule="auto"/>
        <w:jc w:val="center"/>
        <w:rPr>
          <w:rFonts w:hint="eastAsia" w:ascii="宋体" w:hAnsi="宋体" w:eastAsia="宋体" w:cs="宋体"/>
          <w:b/>
          <w:bCs/>
          <w:sz w:val="28"/>
          <w:szCs w:val="28"/>
        </w:rPr>
      </w:pPr>
      <w:r>
        <w:rPr>
          <w:rFonts w:hint="eastAsia" w:eastAsia="宋体"/>
          <w:sz w:val="18"/>
          <w:szCs w:val="18"/>
          <w:lang w:eastAsia="zh-CN"/>
        </w:rPr>
        <w:drawing>
          <wp:anchor distT="0" distB="0" distL="114300" distR="114300" simplePos="0" relativeHeight="251720704" behindDoc="0" locked="0" layoutInCell="1" allowOverlap="1">
            <wp:simplePos x="0" y="0"/>
            <wp:positionH relativeFrom="column">
              <wp:posOffset>901700</wp:posOffset>
            </wp:positionH>
            <wp:positionV relativeFrom="paragraph">
              <wp:posOffset>205740</wp:posOffset>
            </wp:positionV>
            <wp:extent cx="3352800" cy="1076325"/>
            <wp:effectExtent l="0" t="0" r="0" b="9525"/>
            <wp:wrapNone/>
            <wp:docPr id="1" name="图片 3" descr="创意logo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创意logo2024"/>
                    <pic:cNvPicPr>
                      <a:picLocks noChangeAspect="1"/>
                    </pic:cNvPicPr>
                  </pic:nvPicPr>
                  <pic:blipFill>
                    <a:blip r:embed="rId11"/>
                    <a:stretch>
                      <a:fillRect/>
                    </a:stretch>
                  </pic:blipFill>
                  <pic:spPr>
                    <a:xfrm>
                      <a:off x="0" y="0"/>
                      <a:ext cx="3352800" cy="1076325"/>
                    </a:xfrm>
                    <a:prstGeom prst="rect">
                      <a:avLst/>
                    </a:prstGeom>
                    <a:noFill/>
                    <a:ln>
                      <a:noFill/>
                    </a:ln>
                  </pic:spPr>
                </pic:pic>
              </a:graphicData>
            </a:graphic>
          </wp:anchor>
        </w:drawing>
      </w:r>
    </w:p>
    <w:p>
      <w:pPr>
        <w:spacing w:line="240" w:lineRule="auto"/>
        <w:jc w:val="center"/>
        <w:rPr>
          <w:rFonts w:hint="eastAsia" w:ascii="宋体" w:hAnsi="宋体" w:eastAsia="宋体" w:cs="宋体"/>
          <w:b/>
          <w:bCs/>
          <w:sz w:val="28"/>
          <w:szCs w:val="28"/>
        </w:rPr>
      </w:pPr>
    </w:p>
    <w:p>
      <w:pPr>
        <w:spacing w:line="240" w:lineRule="auto"/>
        <w:jc w:val="center"/>
        <w:rPr>
          <w:rFonts w:hint="eastAsia" w:ascii="宋体" w:hAnsi="宋体" w:eastAsia="宋体" w:cs="宋体"/>
          <w:b/>
          <w:bCs/>
          <w:sz w:val="28"/>
          <w:szCs w:val="28"/>
        </w:rPr>
      </w:pPr>
    </w:p>
    <w:p>
      <w:pPr>
        <w:spacing w:line="240" w:lineRule="auto"/>
        <w:jc w:val="center"/>
        <w:rPr>
          <w:rFonts w:hint="eastAsia" w:ascii="宋体" w:hAnsi="宋体" w:eastAsia="宋体" w:cs="宋体"/>
          <w:b/>
          <w:bCs/>
          <w:color w:val="FFFFFF" w:themeColor="background1"/>
          <w:sz w:val="28"/>
          <w:szCs w:val="28"/>
          <w14:textFill>
            <w14:solidFill>
              <w14:schemeClr w14:val="bg1"/>
            </w14:solidFill>
          </w14:textFill>
        </w:rPr>
      </w:pPr>
      <w:r>
        <w:rPr>
          <w:rFonts w:hint="eastAsia" w:ascii="楷体" w:hAnsi="楷体" w:eastAsia="楷体"/>
          <w:color w:val="FFFFFF" w:themeColor="background1"/>
          <w:sz w:val="36"/>
          <w:szCs w:val="36"/>
          <w14:textFill>
            <w14:solidFill>
              <w14:schemeClr w14:val="bg1"/>
            </w14:solidFill>
          </w14:textFill>
        </w:rPr>
        <w:t>二</w:t>
      </w:r>
      <w:r>
        <w:rPr>
          <w:rFonts w:hint="eastAsia" w:ascii="宋体" w:hAnsi="宋体"/>
          <w:color w:val="FFFFFF" w:themeColor="background1"/>
          <w:sz w:val="36"/>
          <w:szCs w:val="36"/>
          <w14:textFill>
            <w14:solidFill>
              <w14:schemeClr w14:val="bg1"/>
            </w14:solidFill>
          </w14:textFill>
        </w:rPr>
        <w:t>〇</w:t>
      </w:r>
      <w:r>
        <w:rPr>
          <w:rFonts w:hint="eastAsia" w:ascii="楷体" w:hAnsi="楷体" w:eastAsia="楷体"/>
          <w:color w:val="FFFFFF" w:themeColor="background1"/>
          <w:sz w:val="36"/>
          <w:szCs w:val="36"/>
          <w14:textFill>
            <w14:solidFill>
              <w14:schemeClr w14:val="bg1"/>
            </w14:solidFill>
          </w14:textFill>
        </w:rPr>
        <w:t>二</w:t>
      </w:r>
      <w:r>
        <w:rPr>
          <w:rFonts w:hint="eastAsia" w:ascii="楷体" w:hAnsi="楷体" w:eastAsia="楷体"/>
          <w:color w:val="FFFFFF" w:themeColor="background1"/>
          <w:sz w:val="36"/>
          <w:szCs w:val="36"/>
          <w:lang w:val="en-US" w:eastAsia="zh-CN"/>
          <w14:textFill>
            <w14:solidFill>
              <w14:schemeClr w14:val="bg1"/>
            </w14:solidFill>
          </w14:textFill>
        </w:rPr>
        <w:t>三</w:t>
      </w:r>
      <w:r>
        <w:rPr>
          <w:rFonts w:hint="eastAsia" w:ascii="楷体" w:hAnsi="楷体" w:eastAsia="楷体"/>
          <w:color w:val="FFFFFF" w:themeColor="background1"/>
          <w:sz w:val="36"/>
          <w:szCs w:val="36"/>
          <w14:textFill>
            <w14:solidFill>
              <w14:schemeClr w14:val="bg1"/>
            </w14:solidFill>
          </w14:textFill>
        </w:rPr>
        <w:t>年十</w:t>
      </w:r>
      <w:r>
        <w:rPr>
          <w:rFonts w:hint="eastAsia" w:ascii="楷体" w:hAnsi="楷体" w:eastAsia="楷体"/>
          <w:color w:val="FFFFFF" w:themeColor="background1"/>
          <w:sz w:val="36"/>
          <w:szCs w:val="36"/>
          <w:lang w:val="en-US" w:eastAsia="zh-CN"/>
          <w14:textFill>
            <w14:solidFill>
              <w14:schemeClr w14:val="bg1"/>
            </w14:solidFill>
          </w14:textFill>
        </w:rPr>
        <w:t>二</w:t>
      </w:r>
      <w:r>
        <w:rPr>
          <w:rFonts w:hint="eastAsia" w:ascii="楷体" w:hAnsi="楷体" w:eastAsia="楷体"/>
          <w:color w:val="FFFFFF" w:themeColor="background1"/>
          <w:sz w:val="36"/>
          <w:szCs w:val="36"/>
          <w14:textFill>
            <w14:solidFill>
              <w14:schemeClr w14:val="bg1"/>
            </w14:solidFill>
          </w14:textFill>
        </w:rPr>
        <w:t>月</w:t>
      </w:r>
    </w:p>
    <w:p>
      <w:pPr>
        <w:spacing w:line="240" w:lineRule="auto"/>
        <w:jc w:val="center"/>
        <w:rPr>
          <w:rFonts w:hint="eastAsia" w:ascii="宋体" w:hAnsi="宋体" w:eastAsia="宋体" w:cs="宋体"/>
          <w:b/>
          <w:bCs/>
          <w:sz w:val="28"/>
          <w:szCs w:val="28"/>
        </w:rPr>
      </w:pPr>
      <w:r>
        <w:rPr>
          <w:rFonts w:hint="eastAsia" w:ascii="宋体" w:hAnsi="宋体" w:eastAsia="宋体" w:cs="宋体"/>
          <w:b/>
          <w:bCs/>
          <w:sz w:val="28"/>
          <w:szCs w:val="28"/>
        </w:rPr>
        <w:t>年报公开形式及网址</w:t>
      </w:r>
    </w:p>
    <w:p>
      <w:pPr>
        <w:numPr>
          <w:ilvl w:val="0"/>
          <w:numId w:val="1"/>
        </w:numPr>
        <w:spacing w:line="240" w:lineRule="auto"/>
        <w:jc w:val="left"/>
        <w:rPr>
          <w:rFonts w:hint="eastAsia" w:ascii="宋体" w:hAnsi="宋体" w:eastAsia="宋体" w:cs="宋体"/>
          <w:b/>
          <w:bCs/>
          <w:sz w:val="28"/>
          <w:szCs w:val="28"/>
        </w:rPr>
      </w:pPr>
      <w:r>
        <w:rPr>
          <w:rFonts w:hint="eastAsia" w:ascii="宋体" w:hAnsi="宋体" w:eastAsia="宋体" w:cs="宋体"/>
          <w:b/>
          <w:bCs/>
          <w:sz w:val="28"/>
          <w:szCs w:val="28"/>
        </w:rPr>
        <w:t>年报公开形式：</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jc w:val="both"/>
        <w:textAlignment w:val="auto"/>
        <w:rPr>
          <w:rFonts w:hint="eastAsia" w:ascii="宋体" w:hAnsi="宋体" w:cs="宋体"/>
          <w:sz w:val="28"/>
          <w:szCs w:val="28"/>
          <w:lang w:val="en-US" w:eastAsia="zh-CN"/>
        </w:rPr>
      </w:pPr>
      <w:r>
        <w:rPr>
          <w:rFonts w:hint="eastAsia" w:ascii="宋体" w:hAnsi="宋体" w:cs="宋体"/>
          <w:sz w:val="28"/>
          <w:szCs w:val="28"/>
          <w:lang w:val="en-US" w:eastAsia="zh-CN"/>
        </w:rPr>
        <w:t>《太湖创意职业技术学院高等职业教育质量报告（2023年度）》通过太湖创意职业技术学院</w:t>
      </w:r>
      <w:r>
        <w:rPr>
          <w:rFonts w:hint="eastAsia" w:ascii="宋体" w:hAnsi="宋体" w:eastAsia="宋体" w:cs="宋体"/>
          <w:sz w:val="28"/>
          <w:szCs w:val="28"/>
          <w:lang w:val="en-US" w:eastAsia="zh-CN"/>
        </w:rPr>
        <w:t>官网质量年报专栏</w:t>
      </w:r>
      <w:r>
        <w:rPr>
          <w:rFonts w:hint="eastAsia" w:ascii="宋体" w:hAnsi="宋体" w:cs="宋体"/>
          <w:sz w:val="28"/>
          <w:szCs w:val="28"/>
          <w:lang w:val="en-US" w:eastAsia="zh-CN"/>
        </w:rPr>
        <w:t>面向社会公开。</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default" w:ascii="宋体" w:hAnsi="宋体" w:cs="宋体"/>
          <w:sz w:val="28"/>
          <w:szCs w:val="28"/>
          <w:lang w:val="en-US" w:eastAsia="zh-CN"/>
        </w:rPr>
      </w:pPr>
    </w:p>
    <w:p>
      <w:pPr>
        <w:numPr>
          <w:ilvl w:val="0"/>
          <w:numId w:val="1"/>
        </w:numPr>
        <w:spacing w:line="240" w:lineRule="auto"/>
        <w:jc w:val="left"/>
        <w:rPr>
          <w:rFonts w:hint="eastAsia" w:ascii="宋体" w:hAnsi="宋体" w:eastAsia="宋体" w:cs="宋体"/>
          <w:b/>
          <w:bCs/>
          <w:sz w:val="28"/>
          <w:szCs w:val="28"/>
        </w:rPr>
      </w:pPr>
      <w:r>
        <w:rPr>
          <w:rFonts w:hint="eastAsia" w:ascii="宋体" w:hAnsi="宋体" w:cs="宋体"/>
          <w:b/>
          <w:bCs/>
          <w:sz w:val="28"/>
          <w:szCs w:val="28"/>
          <w:lang w:val="en-US" w:eastAsia="zh-CN"/>
        </w:rPr>
        <w:t>网址：</w:t>
      </w:r>
      <w:r>
        <w:rPr>
          <w:rFonts w:hint="default" w:ascii="等线" w:hAnsi="等线" w:eastAsia="等线" w:cs="等线"/>
          <w:i w:val="0"/>
          <w:iCs w:val="0"/>
          <w:kern w:val="0"/>
          <w:sz w:val="22"/>
          <w:szCs w:val="22"/>
          <w:u w:val="single"/>
          <w:lang w:val="en-US" w:eastAsia="zh-CN" w:bidi="ar"/>
        </w:rPr>
        <w:fldChar w:fldCharType="begin"/>
      </w:r>
      <w:r>
        <w:rPr>
          <w:rFonts w:hint="default" w:ascii="等线" w:hAnsi="等线" w:eastAsia="等线" w:cs="等线"/>
          <w:i w:val="0"/>
          <w:iCs w:val="0"/>
          <w:kern w:val="0"/>
          <w:sz w:val="22"/>
          <w:szCs w:val="22"/>
          <w:u w:val="single"/>
          <w:lang w:val="en-US" w:eastAsia="zh-CN" w:bidi="ar"/>
        </w:rPr>
        <w:instrText xml:space="preserve"> HYPERLINK "http://www.thcyzy.cn/html/news_show.asp?id=3203" </w:instrText>
      </w:r>
      <w:r>
        <w:rPr>
          <w:rFonts w:hint="default" w:ascii="等线" w:hAnsi="等线" w:eastAsia="等线" w:cs="等线"/>
          <w:i w:val="0"/>
          <w:iCs w:val="0"/>
          <w:kern w:val="0"/>
          <w:sz w:val="22"/>
          <w:szCs w:val="22"/>
          <w:u w:val="single"/>
          <w:lang w:val="en-US" w:eastAsia="zh-CN" w:bidi="ar"/>
        </w:rPr>
        <w:fldChar w:fldCharType="separate"/>
      </w:r>
      <w:r>
        <w:rPr>
          <w:rStyle w:val="16"/>
          <w:rFonts w:hint="default" w:ascii="等线" w:hAnsi="等线" w:eastAsia="等线" w:cs="等线"/>
          <w:i w:val="0"/>
          <w:iCs w:val="0"/>
          <w:sz w:val="22"/>
          <w:szCs w:val="22"/>
          <w:u w:val="single"/>
        </w:rPr>
        <w:t>http://www.thcyzy.cn/html/news_show.asp?id=3203</w:t>
      </w:r>
      <w:r>
        <w:rPr>
          <w:rFonts w:hint="default" w:ascii="等线" w:hAnsi="等线" w:eastAsia="等线" w:cs="等线"/>
          <w:i w:val="0"/>
          <w:iCs w:val="0"/>
          <w:kern w:val="0"/>
          <w:sz w:val="22"/>
          <w:szCs w:val="22"/>
          <w:u w:val="single"/>
          <w:lang w:val="en-US" w:eastAsia="zh-CN" w:bidi="ar"/>
        </w:rPr>
        <w:fldChar w:fldCharType="end"/>
      </w: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r>
        <w:drawing>
          <wp:inline distT="0" distB="0" distL="114300" distR="114300">
            <wp:extent cx="5269230" cy="7261860"/>
            <wp:effectExtent l="0" t="0" r="127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2"/>
                    <a:stretch>
                      <a:fillRect/>
                    </a:stretch>
                  </pic:blipFill>
                  <pic:spPr>
                    <a:xfrm>
                      <a:off x="0" y="0"/>
                      <a:ext cx="5269230" cy="7261860"/>
                    </a:xfrm>
                    <a:prstGeom prst="rect">
                      <a:avLst/>
                    </a:prstGeom>
                    <a:noFill/>
                    <a:ln>
                      <a:noFill/>
                    </a:ln>
                  </pic:spPr>
                </pic:pic>
              </a:graphicData>
            </a:graphic>
          </wp:inline>
        </w:drawing>
      </w:r>
      <w:bookmarkStart w:id="240" w:name="_GoBack"/>
      <w:bookmarkEnd w:id="240"/>
    </w:p>
    <w:p>
      <w:pPr>
        <w:spacing w:line="240" w:lineRule="auto"/>
        <w:jc w:val="center"/>
        <w:rPr>
          <w:rFonts w:hint="eastAsia" w:ascii="楷体" w:hAnsi="楷体" w:eastAsia="楷体"/>
          <w:sz w:val="36"/>
          <w:szCs w:val="36"/>
        </w:rPr>
      </w:pPr>
    </w:p>
    <w:p>
      <w:pPr>
        <w:spacing w:line="240" w:lineRule="auto"/>
        <w:jc w:val="center"/>
        <w:rPr>
          <w:rFonts w:hint="eastAsia" w:ascii="楷体" w:hAnsi="楷体" w:eastAsia="楷体"/>
          <w:sz w:val="36"/>
          <w:szCs w:val="36"/>
        </w:rPr>
      </w:pPr>
    </w:p>
    <w:p>
      <w:pPr>
        <w:spacing w:line="240" w:lineRule="auto"/>
        <w:jc w:val="both"/>
        <w:rPr>
          <w:rFonts w:hint="eastAsia" w:ascii="楷体" w:hAnsi="楷体" w:eastAsia="楷体"/>
          <w:sz w:val="36"/>
          <w:szCs w:val="36"/>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宋体" w:hAnsi="宋体" w:eastAsia="宋体" w:cs="宋体"/>
          <w:b/>
          <w:bCs/>
          <w:sz w:val="28"/>
          <w:szCs w:val="28"/>
          <w:lang w:val="en-US" w:eastAsia="zh-CN"/>
        </w:rPr>
      </w:pPr>
      <w:r>
        <w:rPr>
          <w:rFonts w:hint="eastAsia" w:ascii="宋体" w:hAnsi="宋体" w:cs="宋体"/>
          <w:b/>
          <w:bCs/>
          <w:sz w:val="28"/>
          <w:szCs w:val="28"/>
          <w:lang w:val="en-US" w:eastAsia="zh-CN"/>
        </w:rPr>
        <w:t>前言</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8"/>
          <w:szCs w:val="28"/>
        </w:rPr>
      </w:pPr>
      <w:r>
        <w:rPr>
          <w:rFonts w:hint="eastAsia" w:ascii="宋体" w:hAnsi="宋体" w:eastAsia="宋体" w:cs="宋体"/>
          <w:sz w:val="28"/>
          <w:szCs w:val="28"/>
        </w:rPr>
        <w:t>一、编制目的</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jc w:val="both"/>
        <w:textAlignment w:val="auto"/>
        <w:rPr>
          <w:rFonts w:hint="eastAsia" w:ascii="宋体" w:hAnsi="宋体" w:eastAsia="宋体" w:cs="宋体"/>
          <w:sz w:val="28"/>
          <w:szCs w:val="28"/>
        </w:rPr>
      </w:pPr>
      <w:r>
        <w:rPr>
          <w:rFonts w:hint="eastAsia" w:ascii="宋体" w:hAnsi="宋体" w:eastAsia="宋体" w:cs="宋体"/>
          <w:sz w:val="28"/>
          <w:szCs w:val="28"/>
        </w:rPr>
        <w:t>江苏省高等职业院校年度质量报告是为了全面、客观、真实地反映各高等职业院校的办学质量、教育教学成果和年度发展情况，旨在加强高等职业教育的规范化、科学化、国际化管理，提高高等职业院校的办学水平和服务能力，促进高等职业教育持续健康发展。通过编制年度质量报告，可以梳理</w:t>
      </w:r>
      <w:r>
        <w:rPr>
          <w:rFonts w:hint="eastAsia" w:ascii="宋体" w:hAnsi="宋体" w:cs="宋体"/>
          <w:sz w:val="28"/>
          <w:szCs w:val="28"/>
          <w:lang w:val="en-US" w:eastAsia="zh-CN"/>
        </w:rPr>
        <w:t>学</w:t>
      </w:r>
      <w:r>
        <w:rPr>
          <w:rFonts w:hint="eastAsia" w:ascii="宋体" w:hAnsi="宋体" w:eastAsia="宋体" w:cs="宋体"/>
          <w:sz w:val="28"/>
          <w:szCs w:val="28"/>
        </w:rPr>
        <w:t>校的办学思路，总结办学成果，发现存在的问题，为未来的发展提供参考。同时，也为社会公众、学生及家长提供了了解</w:t>
      </w:r>
      <w:r>
        <w:rPr>
          <w:rFonts w:hint="eastAsia" w:ascii="宋体" w:hAnsi="宋体" w:cs="宋体"/>
          <w:sz w:val="28"/>
          <w:szCs w:val="28"/>
          <w:lang w:val="en-US" w:eastAsia="zh-CN"/>
        </w:rPr>
        <w:t>学</w:t>
      </w:r>
      <w:r>
        <w:rPr>
          <w:rFonts w:hint="eastAsia" w:ascii="宋体" w:hAnsi="宋体" w:eastAsia="宋体" w:cs="宋体"/>
          <w:sz w:val="28"/>
          <w:szCs w:val="28"/>
        </w:rPr>
        <w:t>校办学情况的重要途径，提高高等职业教育的社会认可度和影响力。</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8"/>
          <w:szCs w:val="28"/>
        </w:rPr>
      </w:pPr>
      <w:r>
        <w:rPr>
          <w:rFonts w:hint="eastAsia" w:ascii="宋体" w:hAnsi="宋体" w:eastAsia="宋体" w:cs="宋体"/>
          <w:sz w:val="28"/>
          <w:szCs w:val="28"/>
        </w:rPr>
        <w:t>二、编制过程</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8"/>
          <w:szCs w:val="28"/>
        </w:rPr>
      </w:pPr>
      <w:r>
        <w:rPr>
          <w:rFonts w:hint="eastAsia" w:ascii="宋体" w:hAnsi="宋体" w:cs="宋体"/>
          <w:sz w:val="28"/>
          <w:szCs w:val="28"/>
          <w:lang w:val="en-US" w:eastAsia="zh-CN"/>
        </w:rPr>
        <w:t>1</w:t>
      </w:r>
      <w:r>
        <w:rPr>
          <w:rFonts w:hint="eastAsia" w:ascii="宋体" w:hAnsi="宋体" w:eastAsia="宋体" w:cs="宋体"/>
          <w:sz w:val="28"/>
          <w:szCs w:val="28"/>
        </w:rPr>
        <w:t>. 数据采集：</w:t>
      </w:r>
      <w:r>
        <w:rPr>
          <w:rFonts w:hint="eastAsia" w:ascii="宋体" w:hAnsi="宋体" w:cs="宋体"/>
          <w:sz w:val="28"/>
          <w:szCs w:val="28"/>
          <w:lang w:val="en-US" w:eastAsia="zh-CN"/>
        </w:rPr>
        <w:t>学校</w:t>
      </w:r>
      <w:r>
        <w:rPr>
          <w:rFonts w:hint="eastAsia" w:ascii="宋体" w:hAnsi="宋体" w:eastAsia="宋体" w:cs="宋体"/>
          <w:sz w:val="28"/>
          <w:szCs w:val="28"/>
        </w:rPr>
        <w:t>按照指标体系的要求，收集、整理相关数据，并确保数据的真实性和准确性。</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8"/>
          <w:szCs w:val="28"/>
        </w:rPr>
      </w:pPr>
      <w:r>
        <w:rPr>
          <w:rFonts w:hint="eastAsia" w:ascii="宋体" w:hAnsi="宋体" w:cs="宋体"/>
          <w:sz w:val="28"/>
          <w:szCs w:val="28"/>
          <w:lang w:val="en-US" w:eastAsia="zh-CN"/>
        </w:rPr>
        <w:t>2</w:t>
      </w:r>
      <w:r>
        <w:rPr>
          <w:rFonts w:hint="eastAsia" w:ascii="宋体" w:hAnsi="宋体" w:eastAsia="宋体" w:cs="宋体"/>
          <w:sz w:val="28"/>
          <w:szCs w:val="28"/>
        </w:rPr>
        <w:t>. 编写报告：</w:t>
      </w:r>
      <w:r>
        <w:rPr>
          <w:rFonts w:hint="eastAsia" w:ascii="宋体" w:hAnsi="宋体" w:cs="宋体"/>
          <w:sz w:val="28"/>
          <w:szCs w:val="28"/>
          <w:lang w:val="en-US" w:eastAsia="zh-CN"/>
        </w:rPr>
        <w:t>学校</w:t>
      </w:r>
      <w:r>
        <w:rPr>
          <w:rFonts w:hint="eastAsia" w:ascii="宋体" w:hAnsi="宋体" w:eastAsia="宋体" w:cs="宋体"/>
          <w:sz w:val="28"/>
          <w:szCs w:val="28"/>
        </w:rPr>
        <w:t>组织专门人员编写年度质量报告，客观反映学校的办学质量和发展情况。</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8"/>
          <w:szCs w:val="28"/>
        </w:rPr>
      </w:pPr>
      <w:r>
        <w:rPr>
          <w:rFonts w:hint="eastAsia" w:ascii="宋体" w:hAnsi="宋体" w:cs="宋体"/>
          <w:sz w:val="28"/>
          <w:szCs w:val="28"/>
          <w:lang w:val="en-US" w:eastAsia="zh-CN"/>
        </w:rPr>
        <w:t>3</w:t>
      </w:r>
      <w:r>
        <w:rPr>
          <w:rFonts w:hint="eastAsia" w:ascii="宋体" w:hAnsi="宋体" w:eastAsia="宋体" w:cs="宋体"/>
          <w:sz w:val="28"/>
          <w:szCs w:val="28"/>
        </w:rPr>
        <w:t xml:space="preserve">. </w:t>
      </w:r>
      <w:r>
        <w:rPr>
          <w:rFonts w:hint="eastAsia" w:ascii="宋体" w:hAnsi="宋体" w:cs="宋体"/>
          <w:sz w:val="28"/>
          <w:szCs w:val="28"/>
          <w:lang w:val="en-US" w:eastAsia="zh-CN"/>
        </w:rPr>
        <w:t>校内审定</w:t>
      </w:r>
      <w:r>
        <w:rPr>
          <w:rFonts w:hint="eastAsia" w:ascii="宋体" w:hAnsi="宋体" w:eastAsia="宋体" w:cs="宋体"/>
          <w:sz w:val="28"/>
          <w:szCs w:val="28"/>
        </w:rPr>
        <w:t>：组织专家对</w:t>
      </w:r>
      <w:r>
        <w:rPr>
          <w:rFonts w:hint="eastAsia" w:ascii="宋体" w:hAnsi="宋体" w:cs="宋体"/>
          <w:sz w:val="28"/>
          <w:szCs w:val="28"/>
          <w:lang w:val="en-US" w:eastAsia="zh-CN"/>
        </w:rPr>
        <w:t>学校</w:t>
      </w:r>
      <w:r>
        <w:rPr>
          <w:rFonts w:hint="eastAsia" w:ascii="宋体" w:hAnsi="宋体" w:eastAsia="宋体" w:cs="宋体"/>
          <w:sz w:val="28"/>
          <w:szCs w:val="28"/>
        </w:rPr>
        <w:t>的年度质量报告进行</w:t>
      </w:r>
      <w:r>
        <w:rPr>
          <w:rFonts w:hint="eastAsia" w:ascii="宋体" w:hAnsi="宋体" w:cs="宋体"/>
          <w:sz w:val="28"/>
          <w:szCs w:val="28"/>
          <w:lang w:val="en-US" w:eastAsia="zh-CN"/>
        </w:rPr>
        <w:t>校内审定</w:t>
      </w:r>
      <w:r>
        <w:rPr>
          <w:rFonts w:hint="eastAsia" w:ascii="宋体" w:hAnsi="宋体" w:eastAsia="宋体" w:cs="宋体"/>
          <w:sz w:val="28"/>
          <w:szCs w:val="28"/>
        </w:rPr>
        <w:t>，提出意见和建议，促进办学质量的提高。</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8"/>
          <w:szCs w:val="28"/>
        </w:rPr>
      </w:pPr>
      <w:r>
        <w:rPr>
          <w:rFonts w:hint="eastAsia" w:ascii="宋体" w:hAnsi="宋体" w:cs="宋体"/>
          <w:sz w:val="28"/>
          <w:szCs w:val="28"/>
          <w:lang w:val="en-US" w:eastAsia="zh-CN"/>
        </w:rPr>
        <w:t>4</w:t>
      </w:r>
      <w:r>
        <w:rPr>
          <w:rFonts w:hint="eastAsia" w:ascii="宋体" w:hAnsi="宋体" w:eastAsia="宋体" w:cs="宋体"/>
          <w:sz w:val="28"/>
          <w:szCs w:val="28"/>
        </w:rPr>
        <w:t>. 发布报告：在评审通过后，</w:t>
      </w:r>
      <w:r>
        <w:rPr>
          <w:rFonts w:hint="eastAsia" w:ascii="宋体" w:hAnsi="宋体" w:cs="宋体"/>
          <w:sz w:val="28"/>
          <w:szCs w:val="28"/>
          <w:lang w:val="en-US" w:eastAsia="zh-CN"/>
        </w:rPr>
        <w:t>学校</w:t>
      </w:r>
      <w:r>
        <w:rPr>
          <w:rFonts w:hint="eastAsia" w:ascii="宋体" w:hAnsi="宋体" w:eastAsia="宋体" w:cs="宋体"/>
          <w:sz w:val="28"/>
          <w:szCs w:val="28"/>
        </w:rPr>
        <w:t>向社会公众发布年度质量报告，以增强学校的透明度和公信力。</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8"/>
          <w:szCs w:val="28"/>
        </w:rPr>
      </w:pPr>
      <w:r>
        <w:rPr>
          <w:rFonts w:hint="eastAsia" w:ascii="宋体" w:hAnsi="宋体" w:eastAsia="宋体" w:cs="宋体"/>
          <w:sz w:val="28"/>
          <w:szCs w:val="28"/>
        </w:rPr>
        <w:t>三、特色和亮点</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sz w:val="28"/>
          <w:szCs w:val="28"/>
          <w:lang w:eastAsia="zh-CN"/>
        </w:rPr>
      </w:pPr>
      <w:r>
        <w:rPr>
          <w:rFonts w:hint="eastAsia" w:ascii="宋体" w:hAnsi="宋体" w:eastAsia="宋体" w:cs="宋体"/>
          <w:sz w:val="28"/>
          <w:szCs w:val="28"/>
        </w:rPr>
        <w:t>学</w:t>
      </w:r>
      <w:r>
        <w:rPr>
          <w:rFonts w:hint="eastAsia" w:ascii="宋体" w:hAnsi="宋体" w:cs="宋体"/>
          <w:sz w:val="28"/>
          <w:szCs w:val="28"/>
          <w:lang w:val="en-US" w:eastAsia="zh-CN"/>
        </w:rPr>
        <w:t>校</w:t>
      </w:r>
      <w:r>
        <w:rPr>
          <w:rFonts w:hint="eastAsia" w:ascii="宋体" w:hAnsi="宋体" w:eastAsia="宋体" w:cs="宋体"/>
          <w:sz w:val="28"/>
          <w:szCs w:val="28"/>
        </w:rPr>
        <w:t>专业开发与设置立足于服务区域经济发展需要，构建以区域产业需求为导向的专业开发模式，整合资源、优化结构、重点扶持。根据区域经济社会发展及产业结构调整，特别是无锡“465”现代产业体系建设</w:t>
      </w:r>
      <w:r>
        <w:rPr>
          <w:rFonts w:hint="eastAsia" w:ascii="宋体" w:hAnsi="宋体" w:eastAsia="宋体" w:cs="宋体"/>
          <w:sz w:val="28"/>
          <w:szCs w:val="28"/>
          <w:lang w:val="en-US" w:eastAsia="zh-CN"/>
        </w:rPr>
        <w:t>的</w:t>
      </w:r>
      <w:r>
        <w:rPr>
          <w:rFonts w:hint="eastAsia" w:ascii="宋体" w:hAnsi="宋体" w:eastAsia="宋体" w:cs="宋体"/>
          <w:sz w:val="28"/>
          <w:szCs w:val="28"/>
        </w:rPr>
        <w:t>发展要求，进行新一轮专业结构调整，学</w:t>
      </w:r>
      <w:r>
        <w:rPr>
          <w:rFonts w:hint="eastAsia" w:ascii="宋体" w:hAnsi="宋体" w:cs="宋体"/>
          <w:sz w:val="28"/>
          <w:szCs w:val="28"/>
          <w:lang w:val="en-US" w:eastAsia="zh-CN"/>
        </w:rPr>
        <w:t>校</w:t>
      </w:r>
      <w:r>
        <w:rPr>
          <w:rFonts w:hint="eastAsia" w:ascii="宋体" w:hAnsi="宋体" w:eastAsia="宋体" w:cs="宋体"/>
          <w:sz w:val="28"/>
          <w:szCs w:val="28"/>
        </w:rPr>
        <w:t>已形成了以市级以上重点建设专业为龙头，校级重点专业为支撑的专业结构布局</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sz w:val="28"/>
          <w:szCs w:val="28"/>
          <w:lang w:val="en-US" w:eastAsia="zh-CN"/>
        </w:rPr>
      </w:pPr>
      <w:r>
        <w:rPr>
          <w:rFonts w:hint="eastAsia" w:ascii="宋体" w:hAnsi="宋体" w:cs="宋体"/>
          <w:sz w:val="28"/>
          <w:szCs w:val="28"/>
          <w:lang w:val="en-US" w:eastAsia="zh-CN"/>
        </w:rPr>
        <w:t>学</w:t>
      </w:r>
      <w:r>
        <w:rPr>
          <w:rFonts w:hint="eastAsia" w:ascii="宋体" w:hAnsi="宋体" w:eastAsia="宋体" w:cs="宋体"/>
          <w:sz w:val="28"/>
          <w:szCs w:val="28"/>
          <w:lang w:val="en-US" w:eastAsia="zh-CN"/>
        </w:rPr>
        <w:t>校</w:t>
      </w:r>
      <w:r>
        <w:rPr>
          <w:rFonts w:hint="eastAsia" w:ascii="宋体" w:hAnsi="宋体" w:eastAsia="宋体" w:cs="宋体"/>
          <w:sz w:val="28"/>
          <w:szCs w:val="28"/>
        </w:rPr>
        <w:t>现设2</w:t>
      </w:r>
      <w:r>
        <w:rPr>
          <w:rFonts w:hint="eastAsia" w:ascii="宋体" w:hAnsi="宋体" w:eastAsia="宋体" w:cs="宋体"/>
          <w:sz w:val="28"/>
          <w:szCs w:val="28"/>
          <w:lang w:val="en-US" w:eastAsia="zh-CN"/>
        </w:rPr>
        <w:t>9</w:t>
      </w:r>
      <w:r>
        <w:rPr>
          <w:rFonts w:hint="eastAsia" w:ascii="宋体" w:hAnsi="宋体" w:eastAsia="宋体" w:cs="宋体"/>
          <w:sz w:val="28"/>
          <w:szCs w:val="28"/>
        </w:rPr>
        <w:t>个专业</w:t>
      </w:r>
      <w:r>
        <w:rPr>
          <w:rFonts w:hint="eastAsia" w:ascii="宋体" w:hAnsi="宋体" w:eastAsia="宋体" w:cs="宋体"/>
          <w:sz w:val="28"/>
          <w:szCs w:val="28"/>
          <w:lang w:eastAsia="zh-CN"/>
        </w:rPr>
        <w:t>，</w:t>
      </w:r>
      <w:r>
        <w:rPr>
          <w:rFonts w:hint="eastAsia" w:ascii="宋体" w:hAnsi="宋体" w:eastAsia="宋体" w:cs="宋体"/>
          <w:sz w:val="28"/>
          <w:szCs w:val="28"/>
        </w:rPr>
        <w:t>其中机电一体化专业、计算机应用技术专业</w:t>
      </w:r>
      <w:r>
        <w:rPr>
          <w:rFonts w:hint="eastAsia" w:ascii="宋体" w:hAnsi="宋体" w:cs="宋体"/>
          <w:sz w:val="28"/>
          <w:szCs w:val="28"/>
          <w:lang w:eastAsia="zh-CN"/>
        </w:rPr>
        <w:t>、</w:t>
      </w:r>
      <w:r>
        <w:rPr>
          <w:rFonts w:hint="eastAsia" w:ascii="宋体" w:hAnsi="宋体" w:cs="宋体"/>
          <w:sz w:val="28"/>
          <w:szCs w:val="28"/>
          <w:lang w:val="en-US" w:eastAsia="zh-CN"/>
        </w:rPr>
        <w:t>护理专业</w:t>
      </w:r>
      <w:r>
        <w:rPr>
          <w:rFonts w:hint="eastAsia" w:ascii="宋体" w:hAnsi="宋体" w:eastAsia="宋体" w:cs="宋体"/>
          <w:sz w:val="28"/>
          <w:szCs w:val="28"/>
        </w:rPr>
        <w:t>等为</w:t>
      </w:r>
      <w:r>
        <w:rPr>
          <w:rFonts w:hint="eastAsia" w:ascii="宋体" w:hAnsi="宋体" w:cs="宋体"/>
          <w:sz w:val="28"/>
          <w:szCs w:val="28"/>
          <w:lang w:val="en-US" w:eastAsia="zh-CN"/>
        </w:rPr>
        <w:t>校级</w:t>
      </w:r>
      <w:r>
        <w:rPr>
          <w:rFonts w:hint="eastAsia" w:ascii="宋体" w:hAnsi="宋体" w:eastAsia="宋体" w:cs="宋体"/>
          <w:sz w:val="28"/>
          <w:szCs w:val="28"/>
        </w:rPr>
        <w:t>重点建设专业； 会计专业和艺术设计专业为市级特色专业。专业覆盖面涵盖电子信息大类</w:t>
      </w:r>
      <w:r>
        <w:rPr>
          <w:rFonts w:hint="eastAsia" w:ascii="宋体" w:hAnsi="宋体" w:eastAsia="宋体" w:cs="宋体"/>
          <w:sz w:val="28"/>
          <w:szCs w:val="28"/>
          <w:lang w:eastAsia="zh-CN"/>
        </w:rPr>
        <w:t>、</w:t>
      </w:r>
      <w:r>
        <w:rPr>
          <w:rFonts w:hint="eastAsia" w:ascii="宋体" w:hAnsi="宋体" w:eastAsia="宋体" w:cs="宋体"/>
          <w:sz w:val="28"/>
          <w:szCs w:val="28"/>
        </w:rPr>
        <w:t>土木建筑大类</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装备</w:t>
      </w:r>
      <w:r>
        <w:rPr>
          <w:rFonts w:hint="eastAsia" w:ascii="宋体" w:hAnsi="宋体" w:eastAsia="宋体" w:cs="宋体"/>
          <w:sz w:val="28"/>
          <w:szCs w:val="28"/>
        </w:rPr>
        <w:t>制造大类</w:t>
      </w:r>
      <w:r>
        <w:rPr>
          <w:rFonts w:hint="eastAsia" w:ascii="宋体" w:hAnsi="宋体" w:eastAsia="宋体" w:cs="宋体"/>
          <w:sz w:val="28"/>
          <w:szCs w:val="28"/>
          <w:lang w:eastAsia="zh-CN"/>
        </w:rPr>
        <w:t>、</w:t>
      </w:r>
      <w:r>
        <w:rPr>
          <w:rFonts w:hint="eastAsia" w:ascii="宋体" w:hAnsi="宋体" w:eastAsia="宋体" w:cs="宋体"/>
          <w:sz w:val="28"/>
          <w:szCs w:val="28"/>
        </w:rPr>
        <w:t>财经</w:t>
      </w:r>
      <w:r>
        <w:rPr>
          <w:rFonts w:hint="eastAsia" w:ascii="宋体" w:hAnsi="宋体" w:eastAsia="宋体" w:cs="宋体"/>
          <w:sz w:val="28"/>
          <w:szCs w:val="28"/>
          <w:lang w:val="en-US" w:eastAsia="zh-CN"/>
        </w:rPr>
        <w:t>商贸</w:t>
      </w:r>
      <w:r>
        <w:rPr>
          <w:rFonts w:hint="eastAsia" w:ascii="宋体" w:hAnsi="宋体" w:eastAsia="宋体" w:cs="宋体"/>
          <w:sz w:val="28"/>
          <w:szCs w:val="28"/>
        </w:rPr>
        <w:t>大类</w:t>
      </w:r>
      <w:r>
        <w:rPr>
          <w:rFonts w:hint="eastAsia" w:ascii="宋体" w:hAnsi="宋体" w:eastAsia="宋体" w:cs="宋体"/>
          <w:sz w:val="28"/>
          <w:szCs w:val="28"/>
          <w:lang w:eastAsia="zh-CN"/>
        </w:rPr>
        <w:t>、</w:t>
      </w:r>
      <w:r>
        <w:rPr>
          <w:rFonts w:hint="eastAsia" w:ascii="宋体" w:hAnsi="宋体" w:eastAsia="宋体" w:cs="宋体"/>
          <w:sz w:val="28"/>
          <w:szCs w:val="28"/>
        </w:rPr>
        <w:t>文化教育大类</w:t>
      </w:r>
      <w:r>
        <w:rPr>
          <w:rFonts w:hint="eastAsia" w:ascii="宋体" w:hAnsi="宋体" w:eastAsia="宋体" w:cs="宋体"/>
          <w:sz w:val="28"/>
          <w:szCs w:val="28"/>
          <w:lang w:eastAsia="zh-CN"/>
        </w:rPr>
        <w:t>、</w:t>
      </w:r>
      <w:r>
        <w:rPr>
          <w:rFonts w:hint="eastAsia" w:ascii="宋体" w:hAnsi="宋体" w:eastAsia="宋体" w:cs="宋体"/>
          <w:sz w:val="28"/>
          <w:szCs w:val="28"/>
        </w:rPr>
        <w:t>旅游大类</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文化</w:t>
      </w:r>
      <w:r>
        <w:rPr>
          <w:rFonts w:hint="eastAsia" w:ascii="宋体" w:hAnsi="宋体" w:eastAsia="宋体" w:cs="宋体"/>
          <w:sz w:val="28"/>
          <w:szCs w:val="28"/>
        </w:rPr>
        <w:t>艺术大类</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医药卫生大类、交通运输大类</w:t>
      </w:r>
      <w:r>
        <w:rPr>
          <w:rFonts w:hint="eastAsia" w:ascii="宋体" w:hAnsi="宋体" w:eastAsia="宋体" w:cs="宋体"/>
          <w:sz w:val="28"/>
          <w:szCs w:val="28"/>
        </w:rPr>
        <w:t>等</w:t>
      </w:r>
      <w:r>
        <w:rPr>
          <w:rFonts w:hint="eastAsia" w:ascii="宋体" w:hAnsi="宋体" w:eastAsia="宋体" w:cs="宋体"/>
          <w:sz w:val="28"/>
          <w:szCs w:val="28"/>
          <w:lang w:val="en-US" w:eastAsia="zh-CN"/>
        </w:rPr>
        <w:t>9</w:t>
      </w:r>
      <w:r>
        <w:rPr>
          <w:rFonts w:hint="eastAsia" w:ascii="宋体" w:hAnsi="宋体" w:eastAsia="宋体" w:cs="宋体"/>
          <w:sz w:val="28"/>
          <w:szCs w:val="28"/>
        </w:rPr>
        <w:t>大专业门类。</w:t>
      </w:r>
      <w:r>
        <w:rPr>
          <w:rFonts w:hint="eastAsia" w:ascii="宋体" w:hAnsi="宋体" w:eastAsia="宋体" w:cs="宋体"/>
          <w:sz w:val="28"/>
          <w:szCs w:val="28"/>
          <w:lang w:val="en-US" w:eastAsia="zh-CN"/>
        </w:rPr>
        <w:t>为满足社会需求，2021年</w:t>
      </w:r>
      <w:r>
        <w:rPr>
          <w:rFonts w:hint="eastAsia" w:ascii="宋体" w:hAnsi="宋体" w:eastAsia="宋体" w:cs="宋体"/>
          <w:sz w:val="28"/>
          <w:szCs w:val="28"/>
        </w:rPr>
        <w:t>新增</w:t>
      </w:r>
      <w:r>
        <w:rPr>
          <w:rFonts w:hint="eastAsia" w:ascii="宋体" w:hAnsi="宋体" w:eastAsia="宋体" w:cs="宋体"/>
          <w:sz w:val="28"/>
          <w:szCs w:val="28"/>
          <w:lang w:val="en-US" w:eastAsia="zh-CN"/>
        </w:rPr>
        <w:t>护理</w:t>
      </w:r>
      <w:r>
        <w:rPr>
          <w:rFonts w:hint="eastAsia" w:ascii="宋体" w:hAnsi="宋体" w:eastAsia="宋体" w:cs="宋体"/>
          <w:sz w:val="28"/>
          <w:szCs w:val="28"/>
        </w:rPr>
        <w:t>和</w:t>
      </w:r>
      <w:r>
        <w:rPr>
          <w:rFonts w:hint="eastAsia" w:ascii="宋体" w:hAnsi="宋体" w:eastAsia="宋体" w:cs="宋体"/>
          <w:sz w:val="28"/>
          <w:szCs w:val="28"/>
          <w:lang w:val="en-US" w:eastAsia="zh-CN"/>
        </w:rPr>
        <w:t>婴幼儿托育服务与管理</w:t>
      </w:r>
      <w:r>
        <w:rPr>
          <w:rFonts w:hint="eastAsia" w:ascii="宋体" w:hAnsi="宋体" w:eastAsia="宋体" w:cs="宋体"/>
          <w:sz w:val="28"/>
          <w:szCs w:val="28"/>
        </w:rPr>
        <w:t>专业</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在2022年新增智慧健康养老服务与管理、集成电路技术、网络营销与直播电商专业。</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202</w:t>
      </w:r>
      <w:r>
        <w:rPr>
          <w:rFonts w:hint="eastAsia" w:ascii="宋体" w:hAnsi="宋体" w:cs="宋体"/>
          <w:sz w:val="28"/>
          <w:szCs w:val="28"/>
          <w:lang w:val="en-US" w:eastAsia="zh-CN"/>
        </w:rPr>
        <w:t>3</w:t>
      </w:r>
      <w:r>
        <w:rPr>
          <w:rFonts w:hint="eastAsia" w:ascii="宋体" w:hAnsi="宋体" w:eastAsia="宋体" w:cs="宋体"/>
          <w:sz w:val="28"/>
          <w:szCs w:val="28"/>
          <w:lang w:val="en-US" w:eastAsia="zh-CN"/>
        </w:rPr>
        <w:t>年我校面向“大数据与会计”、“</w:t>
      </w:r>
      <w:r>
        <w:rPr>
          <w:rFonts w:hint="eastAsia" w:ascii="宋体" w:hAnsi="宋体" w:cs="宋体"/>
          <w:sz w:val="28"/>
          <w:szCs w:val="28"/>
          <w:lang w:val="en-US" w:eastAsia="zh-CN"/>
        </w:rPr>
        <w:t>护理</w:t>
      </w:r>
      <w:r>
        <w:rPr>
          <w:rFonts w:hint="eastAsia" w:ascii="宋体" w:hAnsi="宋体" w:eastAsia="宋体" w:cs="宋体"/>
          <w:sz w:val="28"/>
          <w:szCs w:val="28"/>
          <w:lang w:val="en-US" w:eastAsia="zh-CN"/>
        </w:rPr>
        <w:t xml:space="preserve">” </w:t>
      </w:r>
      <w:r>
        <w:rPr>
          <w:rFonts w:hint="eastAsia" w:ascii="宋体" w:hAnsi="宋体" w:cs="宋体"/>
          <w:sz w:val="28"/>
          <w:szCs w:val="28"/>
          <w:lang w:val="en-US" w:eastAsia="zh-CN"/>
        </w:rPr>
        <w:t>两</w:t>
      </w:r>
      <w:r>
        <w:rPr>
          <w:rFonts w:hint="eastAsia" w:ascii="宋体" w:hAnsi="宋体" w:eastAsia="宋体" w:cs="宋体"/>
          <w:sz w:val="28"/>
          <w:szCs w:val="28"/>
          <w:lang w:val="en-US" w:eastAsia="zh-CN"/>
        </w:rPr>
        <w:t>个专业成功申报了“3+2”贯通培养项目，招生效果显著，学生报到率较高。</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学</w:t>
      </w:r>
      <w:r>
        <w:rPr>
          <w:rFonts w:hint="eastAsia" w:ascii="宋体" w:hAnsi="宋体" w:cs="宋体"/>
          <w:sz w:val="28"/>
          <w:szCs w:val="28"/>
          <w:lang w:val="en-US" w:eastAsia="zh-CN"/>
        </w:rPr>
        <w:t>校</w:t>
      </w:r>
      <w:r>
        <w:rPr>
          <w:rFonts w:hint="eastAsia" w:ascii="宋体" w:hAnsi="宋体" w:eastAsia="宋体" w:cs="宋体"/>
          <w:sz w:val="28"/>
          <w:szCs w:val="28"/>
        </w:rPr>
        <w:t>主动适应就业市场对人才的需求，以培养生产建设急需的高素质技术技能人才为目标，本着资源共享、共赢互利的原则，发挥各自优势，强化校企合作，推进产教融合。依托创意学院千企共融合作平台、太湖创意职业技术学院职业教育集团（筹建中），推进校企对接机制，健全学校主体、行业指导、企业参与的专业建设机制，引导和调动行业、企业以及社会力量参与专业建设，与企业（行业）共同制订专业人才培养方案，共建流动学校、流动课堂，实现专业教学要求与企业（行业）岗位技能要求对接，课程内容与职业标准对接。引入企业新技术、新工艺，校企合作开发专业课程和教学资源。积极试行多学期、分段式等灵活多样的教学组织形式，将学校的教学过程和企业的生产过程紧密结合，校企共同完成教学任务。</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坚持走校企合作、产教融合之路，</w:t>
      </w:r>
      <w:r>
        <w:rPr>
          <w:rFonts w:hint="eastAsia" w:ascii="宋体" w:hAnsi="宋体" w:cs="宋体"/>
          <w:sz w:val="28"/>
          <w:szCs w:val="28"/>
          <w:lang w:val="en-US" w:eastAsia="zh-CN"/>
        </w:rPr>
        <w:t>学院每个专业都建立了2个以上的校外实习基地，重点专业建立了3个以上紧密型校企合作实习基地。近两年，学院新增校外实习实训基地20余个，校外实习实训基地总数达到60个，形成了覆盖全院各专业的校外实习基地网络。</w:t>
      </w:r>
      <w:r>
        <w:rPr>
          <w:rFonts w:hint="eastAsia" w:ascii="宋体" w:hAnsi="宋体" w:eastAsia="宋体" w:cs="宋体"/>
          <w:sz w:val="28"/>
          <w:szCs w:val="28"/>
        </w:rPr>
        <w:t>其中深度合作基地10家，聘请行业、企业专家30余位作为学院和各系的专业建设委员会或教学指导委员会成员，参与学院的专业与课程建设、人才培养方案编制等工作，2020年成功组建了千企共融平台，为学院的拓展铺平了道路。</w:t>
      </w:r>
      <w:r>
        <w:rPr>
          <w:rFonts w:hint="eastAsia" w:ascii="宋体" w:hAnsi="宋体" w:eastAsia="宋体" w:cs="宋体"/>
          <w:sz w:val="28"/>
          <w:szCs w:val="28"/>
          <w:lang w:val="en-US" w:eastAsia="zh-CN"/>
        </w:rPr>
        <w:t>学校</w:t>
      </w:r>
      <w:r>
        <w:rPr>
          <w:rFonts w:hint="eastAsia" w:ascii="宋体" w:hAnsi="宋体" w:eastAsia="宋体" w:cs="宋体"/>
          <w:sz w:val="28"/>
          <w:szCs w:val="28"/>
        </w:rPr>
        <w:t>与共融平台企业共建校外导师专家库，入库专家总数达130余人。</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xml:space="preserve">学校领导高度重视就业工作，将就业工作纳入学院工作重要议事日程，推动就业工作全员化进程，成立了以院长、相关职能部门和各二级学院负责人共同组成的就业工作领导小组，加强对毕业生就业工作的领导和指导。在招就处专门建立了就业工作办公室，专职管理就业工作。根据学校人事变动情况，对每一学年度的校、院两级就业工作领导小组进行调整，由各级“一把手”担任就业工作领导小组的组长，让“一把手”真正挑起就业工作的领导职责。 </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sz w:val="28"/>
          <w:szCs w:val="28"/>
          <w:lang w:val="en-US" w:eastAsia="zh-CN"/>
        </w:rPr>
      </w:pPr>
      <w:r>
        <w:rPr>
          <w:rFonts w:hint="eastAsia" w:ascii="宋体" w:hAnsi="宋体" w:cs="宋体"/>
          <w:sz w:val="28"/>
          <w:szCs w:val="28"/>
          <w:lang w:val="en-US" w:eastAsia="zh-CN"/>
        </w:rPr>
        <w:t>学</w:t>
      </w:r>
      <w:r>
        <w:rPr>
          <w:rFonts w:hint="eastAsia" w:ascii="宋体" w:hAnsi="宋体" w:eastAsia="宋体" w:cs="宋体"/>
          <w:sz w:val="28"/>
          <w:szCs w:val="28"/>
          <w:lang w:val="en-US" w:eastAsia="zh-CN"/>
        </w:rPr>
        <w:t>校广泛开拓就业渠道。鼓励学生在毕业之前积极主动参加社会实践活动，为日后择业奠定一定的感性认识和社会知识，利用多种方式与社会接触，拓宽视野，加深认识，培养自己对社会的责任感和亲切感，锻炼自己的胆识和技能。就业是一项系统性工程，贯穿于大学生的三年学习中，</w:t>
      </w:r>
      <w:r>
        <w:rPr>
          <w:rFonts w:hint="eastAsia" w:ascii="宋体" w:hAnsi="宋体" w:cs="宋体"/>
          <w:sz w:val="28"/>
          <w:szCs w:val="28"/>
          <w:lang w:val="en-US" w:eastAsia="zh-CN"/>
        </w:rPr>
        <w:t>学</w:t>
      </w:r>
      <w:r>
        <w:rPr>
          <w:rFonts w:hint="eastAsia" w:ascii="宋体" w:hAnsi="宋体" w:eastAsia="宋体" w:cs="宋体"/>
          <w:sz w:val="28"/>
          <w:szCs w:val="28"/>
          <w:lang w:val="en-US" w:eastAsia="zh-CN"/>
        </w:rPr>
        <w:t>校安排就业指导理论课与专家讲堂相结合，有针对性的开展大学就业问题相关辅导和讲座。</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学校的建设和发展永无止境。学院将持续加大投入，不断改善学校条件，增强办学实力，加强内涵建设，努力提升办学水平，提高学院的核心竞争力，全面推进育人质量的提高，在加强内涵建设的基础上，围绕“创意”做文章，办出“创意”特色，努力把学校建设成为知名度高、有特色、高水平的职业技术学院，加强高素质技术技能型人才的培养，为无锡和苏南区域社会经济建设做出积极的贡献。</w:t>
      </w: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宋体" w:hAnsi="宋体" w:eastAsia="宋体" w:cs="宋体"/>
          <w:sz w:val="28"/>
          <w:szCs w:val="28"/>
        </w:rPr>
      </w:pPr>
    </w:p>
    <w:sdt>
      <w:sdtPr>
        <w:rPr>
          <w:rFonts w:ascii="宋体" w:hAnsi="宋体" w:eastAsia="宋体" w:cs="Times New Roman"/>
          <w:kern w:val="2"/>
          <w:sz w:val="21"/>
          <w:szCs w:val="24"/>
          <w:lang w:val="en-US" w:eastAsia="zh-CN" w:bidi="ar-SA"/>
        </w:rPr>
        <w:id w:val="147459558"/>
        <w15:color w:val="DBDBDB"/>
        <w:docPartObj>
          <w:docPartGallery w:val="Table of Contents"/>
          <w:docPartUnique/>
        </w:docPartObj>
      </w:sdtPr>
      <w:sdtEndPr>
        <w:rPr>
          <w:rFonts w:hint="eastAsia" w:ascii="楷体" w:hAnsi="楷体" w:eastAsia="楷体" w:cs="Times New Roman"/>
          <w:b/>
          <w:kern w:val="2"/>
          <w:sz w:val="18"/>
          <w:szCs w:val="18"/>
          <w:lang w:val="en-US" w:eastAsia="zh-CN" w:bidi="ar-SA"/>
        </w:rPr>
      </w:sdtEndPr>
      <w:sdtContent>
        <w:p>
          <w:pPr>
            <w:spacing w:before="0" w:beforeLines="0" w:after="0" w:afterLines="0" w:line="240" w:lineRule="auto"/>
            <w:ind w:left="0" w:leftChars="0" w:right="0" w:rightChars="0" w:firstLine="0" w:firstLineChars="0"/>
            <w:jc w:val="center"/>
            <w:rPr>
              <w:b/>
              <w:bCs/>
              <w:sz w:val="24"/>
              <w:szCs w:val="24"/>
            </w:rPr>
          </w:pPr>
          <w:r>
            <w:rPr>
              <w:rFonts w:ascii="宋体" w:hAnsi="宋体" w:eastAsia="宋体"/>
              <w:b/>
              <w:bCs/>
              <w:sz w:val="24"/>
              <w:szCs w:val="24"/>
            </w:rPr>
            <w:t>目录</w:t>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TOC \o "1-2" \h \u </w:instrText>
          </w:r>
          <w:r>
            <w:rPr>
              <w:rFonts w:hint="eastAsia" w:ascii="宋体" w:hAnsi="宋体" w:eastAsia="宋体" w:cs="宋体"/>
              <w:sz w:val="20"/>
              <w:szCs w:val="20"/>
            </w:rPr>
            <w:fldChar w:fldCharType="separate"/>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_Toc5295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1.基本情况</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_Toc5295 \h </w:instrText>
          </w:r>
          <w:r>
            <w:rPr>
              <w:rFonts w:hint="eastAsia" w:ascii="宋体" w:hAnsi="宋体" w:eastAsia="宋体" w:cs="宋体"/>
              <w:sz w:val="20"/>
              <w:szCs w:val="20"/>
            </w:rPr>
            <w:fldChar w:fldCharType="separate"/>
          </w:r>
          <w:r>
            <w:rPr>
              <w:rFonts w:hint="eastAsia" w:ascii="宋体" w:hAnsi="宋体" w:eastAsia="宋体" w:cs="宋体"/>
              <w:sz w:val="20"/>
              <w:szCs w:val="20"/>
            </w:rPr>
            <w:t>- 1 -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_Toc14368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1.1学校概况</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_Toc14368 \h </w:instrText>
          </w:r>
          <w:r>
            <w:rPr>
              <w:rFonts w:hint="eastAsia" w:ascii="宋体" w:hAnsi="宋体" w:eastAsia="宋体" w:cs="宋体"/>
              <w:sz w:val="20"/>
              <w:szCs w:val="20"/>
            </w:rPr>
            <w:fldChar w:fldCharType="separate"/>
          </w:r>
          <w:r>
            <w:rPr>
              <w:rFonts w:hint="eastAsia" w:ascii="宋体" w:hAnsi="宋体" w:eastAsia="宋体" w:cs="宋体"/>
              <w:sz w:val="20"/>
              <w:szCs w:val="20"/>
            </w:rPr>
            <w:t>- 1 -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_Toc22022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1.2专业情况</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_Toc22022 \h </w:instrText>
          </w:r>
          <w:r>
            <w:rPr>
              <w:rFonts w:hint="eastAsia" w:ascii="宋体" w:hAnsi="宋体" w:eastAsia="宋体" w:cs="宋体"/>
              <w:sz w:val="20"/>
              <w:szCs w:val="20"/>
            </w:rPr>
            <w:fldChar w:fldCharType="separate"/>
          </w:r>
          <w:r>
            <w:rPr>
              <w:rFonts w:hint="eastAsia" w:ascii="宋体" w:hAnsi="宋体" w:eastAsia="宋体" w:cs="宋体"/>
              <w:sz w:val="20"/>
              <w:szCs w:val="20"/>
            </w:rPr>
            <w:t>- 3 -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_Toc18009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1.3学生情况</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_Toc18009 \h </w:instrText>
          </w:r>
          <w:r>
            <w:rPr>
              <w:rFonts w:hint="eastAsia" w:ascii="宋体" w:hAnsi="宋体" w:eastAsia="宋体" w:cs="宋体"/>
              <w:sz w:val="20"/>
              <w:szCs w:val="20"/>
            </w:rPr>
            <w:fldChar w:fldCharType="separate"/>
          </w:r>
          <w:r>
            <w:rPr>
              <w:rFonts w:hint="eastAsia" w:ascii="宋体" w:hAnsi="宋体" w:eastAsia="宋体" w:cs="宋体"/>
              <w:sz w:val="20"/>
              <w:szCs w:val="20"/>
            </w:rPr>
            <w:t>- 7 -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_Toc12095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1.4教师队伍</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_Toc12095 \h </w:instrText>
          </w:r>
          <w:r>
            <w:rPr>
              <w:rFonts w:hint="eastAsia" w:ascii="宋体" w:hAnsi="宋体" w:eastAsia="宋体" w:cs="宋体"/>
              <w:sz w:val="20"/>
              <w:szCs w:val="20"/>
            </w:rPr>
            <w:fldChar w:fldCharType="separate"/>
          </w:r>
          <w:r>
            <w:rPr>
              <w:rFonts w:hint="eastAsia" w:ascii="宋体" w:hAnsi="宋体" w:eastAsia="宋体" w:cs="宋体"/>
              <w:sz w:val="20"/>
              <w:szCs w:val="20"/>
            </w:rPr>
            <w:t>- 13 -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_Toc16157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1.5社会服务</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_Toc16157 \h </w:instrText>
          </w:r>
          <w:r>
            <w:rPr>
              <w:rFonts w:hint="eastAsia" w:ascii="宋体" w:hAnsi="宋体" w:eastAsia="宋体" w:cs="宋体"/>
              <w:sz w:val="20"/>
              <w:szCs w:val="20"/>
            </w:rPr>
            <w:fldChar w:fldCharType="separate"/>
          </w:r>
          <w:r>
            <w:rPr>
              <w:rFonts w:hint="eastAsia" w:ascii="宋体" w:hAnsi="宋体" w:eastAsia="宋体" w:cs="宋体"/>
              <w:sz w:val="20"/>
              <w:szCs w:val="20"/>
            </w:rPr>
            <w:t>- 13 -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_Toc1862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2.人才培养</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_Toc1862 \h </w:instrText>
          </w:r>
          <w:r>
            <w:rPr>
              <w:rFonts w:hint="eastAsia" w:ascii="宋体" w:hAnsi="宋体" w:eastAsia="宋体" w:cs="宋体"/>
              <w:sz w:val="20"/>
              <w:szCs w:val="20"/>
            </w:rPr>
            <w:fldChar w:fldCharType="separate"/>
          </w:r>
          <w:r>
            <w:rPr>
              <w:rFonts w:hint="eastAsia" w:ascii="宋体" w:hAnsi="宋体" w:eastAsia="宋体" w:cs="宋体"/>
              <w:sz w:val="20"/>
              <w:szCs w:val="20"/>
            </w:rPr>
            <w:t>- 14 -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_Toc306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2.1立德树人</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_Toc306 \h </w:instrText>
          </w:r>
          <w:r>
            <w:rPr>
              <w:rFonts w:hint="eastAsia" w:ascii="宋体" w:hAnsi="宋体" w:eastAsia="宋体" w:cs="宋体"/>
              <w:sz w:val="20"/>
              <w:szCs w:val="20"/>
            </w:rPr>
            <w:fldChar w:fldCharType="separate"/>
          </w:r>
          <w:r>
            <w:rPr>
              <w:rFonts w:hint="eastAsia" w:ascii="宋体" w:hAnsi="宋体" w:eastAsia="宋体" w:cs="宋体"/>
              <w:sz w:val="20"/>
              <w:szCs w:val="20"/>
            </w:rPr>
            <w:t>- 14 -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_Toc22317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2.2技能成长</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_Toc22317 \h </w:instrText>
          </w:r>
          <w:r>
            <w:rPr>
              <w:rFonts w:hint="eastAsia" w:ascii="宋体" w:hAnsi="宋体" w:eastAsia="宋体" w:cs="宋体"/>
              <w:sz w:val="20"/>
              <w:szCs w:val="20"/>
            </w:rPr>
            <w:fldChar w:fldCharType="separate"/>
          </w:r>
          <w:r>
            <w:rPr>
              <w:rFonts w:hint="eastAsia" w:ascii="宋体" w:hAnsi="宋体" w:eastAsia="宋体" w:cs="宋体"/>
              <w:sz w:val="20"/>
              <w:szCs w:val="20"/>
            </w:rPr>
            <w:t>- 24 -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_Toc24262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2.3多样成才</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_Toc24262 \h </w:instrText>
          </w:r>
          <w:r>
            <w:rPr>
              <w:rFonts w:hint="eastAsia" w:ascii="宋体" w:hAnsi="宋体" w:eastAsia="宋体" w:cs="宋体"/>
              <w:sz w:val="20"/>
              <w:szCs w:val="20"/>
            </w:rPr>
            <w:fldChar w:fldCharType="separate"/>
          </w:r>
          <w:r>
            <w:rPr>
              <w:rFonts w:hint="eastAsia" w:ascii="宋体" w:hAnsi="宋体" w:eastAsia="宋体" w:cs="宋体"/>
              <w:sz w:val="20"/>
              <w:szCs w:val="20"/>
            </w:rPr>
            <w:t>- 28 -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_Toc2750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2.4职业发展</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_Toc2750 \h </w:instrText>
          </w:r>
          <w:r>
            <w:rPr>
              <w:rFonts w:hint="eastAsia" w:ascii="宋体" w:hAnsi="宋体" w:eastAsia="宋体" w:cs="宋体"/>
              <w:sz w:val="20"/>
              <w:szCs w:val="20"/>
            </w:rPr>
            <w:fldChar w:fldCharType="separate"/>
          </w:r>
          <w:r>
            <w:rPr>
              <w:rFonts w:hint="eastAsia" w:ascii="宋体" w:hAnsi="宋体" w:eastAsia="宋体" w:cs="宋体"/>
              <w:sz w:val="20"/>
              <w:szCs w:val="20"/>
            </w:rPr>
            <w:t>- 32 -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_Toc5372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3.服务贡献</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_Toc5372 \h </w:instrText>
          </w:r>
          <w:r>
            <w:rPr>
              <w:rFonts w:hint="eastAsia" w:ascii="宋体" w:hAnsi="宋体" w:eastAsia="宋体" w:cs="宋体"/>
              <w:sz w:val="20"/>
              <w:szCs w:val="20"/>
            </w:rPr>
            <w:fldChar w:fldCharType="separate"/>
          </w:r>
          <w:r>
            <w:rPr>
              <w:rFonts w:hint="eastAsia" w:ascii="宋体" w:hAnsi="宋体" w:eastAsia="宋体" w:cs="宋体"/>
              <w:sz w:val="20"/>
              <w:szCs w:val="20"/>
            </w:rPr>
            <w:t>- 35 -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_Toc2173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3.1服务产业</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_Toc2173 \h </w:instrText>
          </w:r>
          <w:r>
            <w:rPr>
              <w:rFonts w:hint="eastAsia" w:ascii="宋体" w:hAnsi="宋体" w:eastAsia="宋体" w:cs="宋体"/>
              <w:sz w:val="20"/>
              <w:szCs w:val="20"/>
            </w:rPr>
            <w:fldChar w:fldCharType="separate"/>
          </w:r>
          <w:r>
            <w:rPr>
              <w:rFonts w:hint="eastAsia" w:ascii="宋体" w:hAnsi="宋体" w:eastAsia="宋体" w:cs="宋体"/>
              <w:sz w:val="20"/>
              <w:szCs w:val="20"/>
            </w:rPr>
            <w:t>- 35 -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_Toc316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3.2服务就业</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_Toc316 \h </w:instrText>
          </w:r>
          <w:r>
            <w:rPr>
              <w:rFonts w:hint="eastAsia" w:ascii="宋体" w:hAnsi="宋体" w:eastAsia="宋体" w:cs="宋体"/>
              <w:sz w:val="20"/>
              <w:szCs w:val="20"/>
            </w:rPr>
            <w:fldChar w:fldCharType="separate"/>
          </w:r>
          <w:r>
            <w:rPr>
              <w:rFonts w:hint="eastAsia" w:ascii="宋体" w:hAnsi="宋体" w:eastAsia="宋体" w:cs="宋体"/>
              <w:sz w:val="20"/>
              <w:szCs w:val="20"/>
            </w:rPr>
            <w:t>- 36 -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_Toc16232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3.3服务民生</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_Toc16232 \h </w:instrText>
          </w:r>
          <w:r>
            <w:rPr>
              <w:rFonts w:hint="eastAsia" w:ascii="宋体" w:hAnsi="宋体" w:eastAsia="宋体" w:cs="宋体"/>
              <w:sz w:val="20"/>
              <w:szCs w:val="20"/>
            </w:rPr>
            <w:fldChar w:fldCharType="separate"/>
          </w:r>
          <w:r>
            <w:rPr>
              <w:rFonts w:hint="eastAsia" w:ascii="宋体" w:hAnsi="宋体" w:eastAsia="宋体" w:cs="宋体"/>
              <w:sz w:val="20"/>
              <w:szCs w:val="20"/>
            </w:rPr>
            <w:t>- 39 -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_Toc25884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3.4服务美丽中国</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_Toc25884 \h </w:instrText>
          </w:r>
          <w:r>
            <w:rPr>
              <w:rFonts w:hint="eastAsia" w:ascii="宋体" w:hAnsi="宋体" w:eastAsia="宋体" w:cs="宋体"/>
              <w:sz w:val="20"/>
              <w:szCs w:val="20"/>
            </w:rPr>
            <w:fldChar w:fldCharType="separate"/>
          </w:r>
          <w:r>
            <w:rPr>
              <w:rFonts w:hint="eastAsia" w:ascii="宋体" w:hAnsi="宋体" w:eastAsia="宋体" w:cs="宋体"/>
              <w:sz w:val="20"/>
              <w:szCs w:val="20"/>
            </w:rPr>
            <w:t>- 40 -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_Toc1798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4.文化传承</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_Toc1798 \h </w:instrText>
          </w:r>
          <w:r>
            <w:rPr>
              <w:rFonts w:hint="eastAsia" w:ascii="宋体" w:hAnsi="宋体" w:eastAsia="宋体" w:cs="宋体"/>
              <w:sz w:val="20"/>
              <w:szCs w:val="20"/>
            </w:rPr>
            <w:fldChar w:fldCharType="separate"/>
          </w:r>
          <w:r>
            <w:rPr>
              <w:rFonts w:hint="eastAsia" w:ascii="宋体" w:hAnsi="宋体" w:eastAsia="宋体" w:cs="宋体"/>
              <w:sz w:val="20"/>
              <w:szCs w:val="20"/>
            </w:rPr>
            <w:t>- 41 -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_Toc3371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4.1传承工匠精神</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_Toc3371 \h </w:instrText>
          </w:r>
          <w:r>
            <w:rPr>
              <w:rFonts w:hint="eastAsia" w:ascii="宋体" w:hAnsi="宋体" w:eastAsia="宋体" w:cs="宋体"/>
              <w:sz w:val="20"/>
              <w:szCs w:val="20"/>
            </w:rPr>
            <w:fldChar w:fldCharType="separate"/>
          </w:r>
          <w:r>
            <w:rPr>
              <w:rFonts w:hint="eastAsia" w:ascii="宋体" w:hAnsi="宋体" w:eastAsia="宋体" w:cs="宋体"/>
              <w:sz w:val="20"/>
              <w:szCs w:val="20"/>
            </w:rPr>
            <w:t>- 41 -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_Toc25382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4.2传承红色基因</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_Toc25382 \h </w:instrText>
          </w:r>
          <w:r>
            <w:rPr>
              <w:rFonts w:hint="eastAsia" w:ascii="宋体" w:hAnsi="宋体" w:eastAsia="宋体" w:cs="宋体"/>
              <w:sz w:val="20"/>
              <w:szCs w:val="20"/>
            </w:rPr>
            <w:fldChar w:fldCharType="separate"/>
          </w:r>
          <w:r>
            <w:rPr>
              <w:rFonts w:hint="eastAsia" w:ascii="宋体" w:hAnsi="宋体" w:eastAsia="宋体" w:cs="宋体"/>
              <w:sz w:val="20"/>
              <w:szCs w:val="20"/>
            </w:rPr>
            <w:t>- 45 -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_Toc6504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4.3传承中华优秀传统文化</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_Toc6504 \h </w:instrText>
          </w:r>
          <w:r>
            <w:rPr>
              <w:rFonts w:hint="eastAsia" w:ascii="宋体" w:hAnsi="宋体" w:eastAsia="宋体" w:cs="宋体"/>
              <w:sz w:val="20"/>
              <w:szCs w:val="20"/>
            </w:rPr>
            <w:fldChar w:fldCharType="separate"/>
          </w:r>
          <w:r>
            <w:rPr>
              <w:rFonts w:hint="eastAsia" w:ascii="宋体" w:hAnsi="宋体" w:eastAsia="宋体" w:cs="宋体"/>
              <w:sz w:val="20"/>
              <w:szCs w:val="20"/>
            </w:rPr>
            <w:t>- 50 -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_Toc27153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5.国际合作</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_Toc27153 \h </w:instrText>
          </w:r>
          <w:r>
            <w:rPr>
              <w:rFonts w:hint="eastAsia" w:ascii="宋体" w:hAnsi="宋体" w:eastAsia="宋体" w:cs="宋体"/>
              <w:sz w:val="20"/>
              <w:szCs w:val="20"/>
            </w:rPr>
            <w:fldChar w:fldCharType="separate"/>
          </w:r>
          <w:r>
            <w:rPr>
              <w:rFonts w:hint="eastAsia" w:ascii="宋体" w:hAnsi="宋体" w:eastAsia="宋体" w:cs="宋体"/>
              <w:sz w:val="20"/>
              <w:szCs w:val="20"/>
            </w:rPr>
            <w:t>- 54 -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_Toc18620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5.1留学江苏</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_Toc18620 \h </w:instrText>
          </w:r>
          <w:r>
            <w:rPr>
              <w:rFonts w:hint="eastAsia" w:ascii="宋体" w:hAnsi="宋体" w:eastAsia="宋体" w:cs="宋体"/>
              <w:sz w:val="20"/>
              <w:szCs w:val="20"/>
            </w:rPr>
            <w:fldChar w:fldCharType="separate"/>
          </w:r>
          <w:r>
            <w:rPr>
              <w:rFonts w:hint="eastAsia" w:ascii="宋体" w:hAnsi="宋体" w:eastAsia="宋体" w:cs="宋体"/>
              <w:sz w:val="20"/>
              <w:szCs w:val="20"/>
            </w:rPr>
            <w:t>- 54 -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_Toc31224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5.2合作办学</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_Toc31224 \h </w:instrText>
          </w:r>
          <w:r>
            <w:rPr>
              <w:rFonts w:hint="eastAsia" w:ascii="宋体" w:hAnsi="宋体" w:eastAsia="宋体" w:cs="宋体"/>
              <w:sz w:val="20"/>
              <w:szCs w:val="20"/>
            </w:rPr>
            <w:fldChar w:fldCharType="separate"/>
          </w:r>
          <w:r>
            <w:rPr>
              <w:rFonts w:hint="eastAsia" w:ascii="宋体" w:hAnsi="宋体" w:eastAsia="宋体" w:cs="宋体"/>
              <w:sz w:val="20"/>
              <w:szCs w:val="20"/>
            </w:rPr>
            <w:t>- 54 -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_Toc249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5.3交流互鉴</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_Toc249 \h </w:instrText>
          </w:r>
          <w:r>
            <w:rPr>
              <w:rFonts w:hint="eastAsia" w:ascii="宋体" w:hAnsi="宋体" w:eastAsia="宋体" w:cs="宋体"/>
              <w:sz w:val="20"/>
              <w:szCs w:val="20"/>
            </w:rPr>
            <w:fldChar w:fldCharType="separate"/>
          </w:r>
          <w:r>
            <w:rPr>
              <w:rFonts w:hint="eastAsia" w:ascii="宋体" w:hAnsi="宋体" w:eastAsia="宋体" w:cs="宋体"/>
              <w:sz w:val="20"/>
              <w:szCs w:val="20"/>
            </w:rPr>
            <w:t>- 56 -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_Toc21635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6.产教融合</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_Toc21635 \h </w:instrText>
          </w:r>
          <w:r>
            <w:rPr>
              <w:rFonts w:hint="eastAsia" w:ascii="宋体" w:hAnsi="宋体" w:eastAsia="宋体" w:cs="宋体"/>
              <w:sz w:val="20"/>
              <w:szCs w:val="20"/>
            </w:rPr>
            <w:fldChar w:fldCharType="separate"/>
          </w:r>
          <w:r>
            <w:rPr>
              <w:rFonts w:hint="eastAsia" w:ascii="宋体" w:hAnsi="宋体" w:eastAsia="宋体" w:cs="宋体"/>
              <w:sz w:val="20"/>
              <w:szCs w:val="20"/>
            </w:rPr>
            <w:t>- 57 -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_Toc13871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6.1机制共筑</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_Toc13871 \h </w:instrText>
          </w:r>
          <w:r>
            <w:rPr>
              <w:rFonts w:hint="eastAsia" w:ascii="宋体" w:hAnsi="宋体" w:eastAsia="宋体" w:cs="宋体"/>
              <w:sz w:val="20"/>
              <w:szCs w:val="20"/>
            </w:rPr>
            <w:fldChar w:fldCharType="separate"/>
          </w:r>
          <w:r>
            <w:rPr>
              <w:rFonts w:hint="eastAsia" w:ascii="宋体" w:hAnsi="宋体" w:eastAsia="宋体" w:cs="宋体"/>
              <w:sz w:val="20"/>
              <w:szCs w:val="20"/>
            </w:rPr>
            <w:t>- 57 -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_Toc31359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6.2资源共建</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_Toc31359 \h </w:instrText>
          </w:r>
          <w:r>
            <w:rPr>
              <w:rFonts w:hint="eastAsia" w:ascii="宋体" w:hAnsi="宋体" w:eastAsia="宋体" w:cs="宋体"/>
              <w:sz w:val="20"/>
              <w:szCs w:val="20"/>
            </w:rPr>
            <w:fldChar w:fldCharType="separate"/>
          </w:r>
          <w:r>
            <w:rPr>
              <w:rFonts w:hint="eastAsia" w:ascii="宋体" w:hAnsi="宋体" w:eastAsia="宋体" w:cs="宋体"/>
              <w:sz w:val="20"/>
              <w:szCs w:val="20"/>
            </w:rPr>
            <w:t>- 58 -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_Toc14088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6.3人才共育</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_Toc14088 \h </w:instrText>
          </w:r>
          <w:r>
            <w:rPr>
              <w:rFonts w:hint="eastAsia" w:ascii="宋体" w:hAnsi="宋体" w:eastAsia="宋体" w:cs="宋体"/>
              <w:sz w:val="20"/>
              <w:szCs w:val="20"/>
            </w:rPr>
            <w:fldChar w:fldCharType="separate"/>
          </w:r>
          <w:r>
            <w:rPr>
              <w:rFonts w:hint="eastAsia" w:ascii="宋体" w:hAnsi="宋体" w:eastAsia="宋体" w:cs="宋体"/>
              <w:sz w:val="20"/>
              <w:szCs w:val="20"/>
            </w:rPr>
            <w:t>- 62 -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_Toc21685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6.4双师共培</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_Toc21685 \h </w:instrText>
          </w:r>
          <w:r>
            <w:rPr>
              <w:rFonts w:hint="eastAsia" w:ascii="宋体" w:hAnsi="宋体" w:eastAsia="宋体" w:cs="宋体"/>
              <w:sz w:val="20"/>
              <w:szCs w:val="20"/>
            </w:rPr>
            <w:fldChar w:fldCharType="separate"/>
          </w:r>
          <w:r>
            <w:rPr>
              <w:rFonts w:hint="eastAsia" w:ascii="宋体" w:hAnsi="宋体" w:eastAsia="宋体" w:cs="宋体"/>
              <w:sz w:val="20"/>
              <w:szCs w:val="20"/>
            </w:rPr>
            <w:t>- 65 -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_Toc29383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7.发展保障</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_Toc29383 \h </w:instrText>
          </w:r>
          <w:r>
            <w:rPr>
              <w:rFonts w:hint="eastAsia" w:ascii="宋体" w:hAnsi="宋体" w:eastAsia="宋体" w:cs="宋体"/>
              <w:sz w:val="20"/>
              <w:szCs w:val="20"/>
            </w:rPr>
            <w:fldChar w:fldCharType="separate"/>
          </w:r>
          <w:r>
            <w:rPr>
              <w:rFonts w:hint="eastAsia" w:ascii="宋体" w:hAnsi="宋体" w:eastAsia="宋体" w:cs="宋体"/>
              <w:sz w:val="20"/>
              <w:szCs w:val="20"/>
            </w:rPr>
            <w:t>- 66 -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_Toc8307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7.1党建引领</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_Toc8307 \h </w:instrText>
          </w:r>
          <w:r>
            <w:rPr>
              <w:rFonts w:hint="eastAsia" w:ascii="宋体" w:hAnsi="宋体" w:eastAsia="宋体" w:cs="宋体"/>
              <w:sz w:val="20"/>
              <w:szCs w:val="20"/>
            </w:rPr>
            <w:fldChar w:fldCharType="separate"/>
          </w:r>
          <w:r>
            <w:rPr>
              <w:rFonts w:hint="eastAsia" w:ascii="宋体" w:hAnsi="宋体" w:eastAsia="宋体" w:cs="宋体"/>
              <w:sz w:val="20"/>
              <w:szCs w:val="20"/>
            </w:rPr>
            <w:t>- 66 -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_Toc30774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7.2政策落实</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_Toc30774 \h </w:instrText>
          </w:r>
          <w:r>
            <w:rPr>
              <w:rFonts w:hint="eastAsia" w:ascii="宋体" w:hAnsi="宋体" w:eastAsia="宋体" w:cs="宋体"/>
              <w:sz w:val="20"/>
              <w:szCs w:val="20"/>
            </w:rPr>
            <w:fldChar w:fldCharType="separate"/>
          </w:r>
          <w:r>
            <w:rPr>
              <w:rFonts w:hint="eastAsia" w:ascii="宋体" w:hAnsi="宋体" w:eastAsia="宋体" w:cs="宋体"/>
              <w:sz w:val="20"/>
              <w:szCs w:val="20"/>
            </w:rPr>
            <w:t>- 68 -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_Toc15582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7.3办学条件</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_Toc15582 \h </w:instrText>
          </w:r>
          <w:r>
            <w:rPr>
              <w:rFonts w:hint="eastAsia" w:ascii="宋体" w:hAnsi="宋体" w:eastAsia="宋体" w:cs="宋体"/>
              <w:sz w:val="20"/>
              <w:szCs w:val="20"/>
            </w:rPr>
            <w:fldChar w:fldCharType="separate"/>
          </w:r>
          <w:r>
            <w:rPr>
              <w:rFonts w:hint="eastAsia" w:ascii="宋体" w:hAnsi="宋体" w:eastAsia="宋体" w:cs="宋体"/>
              <w:sz w:val="20"/>
              <w:szCs w:val="20"/>
            </w:rPr>
            <w:t>- 71 -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_Toc9687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7.4学校治理</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_Toc9687 \h </w:instrText>
          </w:r>
          <w:r>
            <w:rPr>
              <w:rFonts w:hint="eastAsia" w:ascii="宋体" w:hAnsi="宋体" w:eastAsia="宋体" w:cs="宋体"/>
              <w:sz w:val="20"/>
              <w:szCs w:val="20"/>
            </w:rPr>
            <w:fldChar w:fldCharType="separate"/>
          </w:r>
          <w:r>
            <w:rPr>
              <w:rFonts w:hint="eastAsia" w:ascii="宋体" w:hAnsi="宋体" w:eastAsia="宋体" w:cs="宋体"/>
              <w:sz w:val="20"/>
              <w:szCs w:val="20"/>
            </w:rPr>
            <w:t>- 74 -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_Toc30541 </w:instrText>
          </w:r>
          <w:r>
            <w:rPr>
              <w:rFonts w:hint="eastAsia" w:ascii="宋体" w:hAnsi="宋体" w:eastAsia="宋体" w:cs="宋体"/>
              <w:sz w:val="20"/>
              <w:szCs w:val="20"/>
            </w:rPr>
            <w:fldChar w:fldCharType="separate"/>
          </w:r>
          <w:r>
            <w:rPr>
              <w:rFonts w:hint="eastAsia" w:ascii="宋体" w:hAnsi="宋体" w:eastAsia="宋体" w:cs="宋体"/>
              <w:bCs/>
              <w:sz w:val="20"/>
              <w:szCs w:val="20"/>
              <w:lang w:val="en-US" w:eastAsia="zh-CN"/>
            </w:rPr>
            <w:t>7.5经费投入</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_Toc30541 \h </w:instrText>
          </w:r>
          <w:r>
            <w:rPr>
              <w:rFonts w:hint="eastAsia" w:ascii="宋体" w:hAnsi="宋体" w:eastAsia="宋体" w:cs="宋体"/>
              <w:sz w:val="20"/>
              <w:szCs w:val="20"/>
            </w:rPr>
            <w:fldChar w:fldCharType="separate"/>
          </w:r>
          <w:r>
            <w:rPr>
              <w:rFonts w:hint="eastAsia" w:ascii="宋体" w:hAnsi="宋体" w:eastAsia="宋体" w:cs="宋体"/>
              <w:sz w:val="20"/>
              <w:szCs w:val="20"/>
            </w:rPr>
            <w:t>- 77 -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_Toc19323 </w:instrText>
          </w:r>
          <w:r>
            <w:rPr>
              <w:rFonts w:hint="eastAsia" w:ascii="宋体" w:hAnsi="宋体" w:eastAsia="宋体" w:cs="宋体"/>
              <w:sz w:val="20"/>
              <w:szCs w:val="20"/>
            </w:rPr>
            <w:fldChar w:fldCharType="separate"/>
          </w:r>
          <w:r>
            <w:rPr>
              <w:rFonts w:hint="eastAsia" w:ascii="宋体" w:hAnsi="宋体" w:eastAsia="宋体" w:cs="宋体"/>
              <w:bCs/>
              <w:kern w:val="2"/>
              <w:sz w:val="20"/>
              <w:szCs w:val="20"/>
              <w:lang w:val="en-US" w:eastAsia="zh-CN" w:bidi="ar-SA"/>
            </w:rPr>
            <w:t>8.挑战与展望</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_Toc19323 \h </w:instrText>
          </w:r>
          <w:r>
            <w:rPr>
              <w:rFonts w:hint="eastAsia" w:ascii="宋体" w:hAnsi="宋体" w:eastAsia="宋体" w:cs="宋体"/>
              <w:sz w:val="20"/>
              <w:szCs w:val="20"/>
            </w:rPr>
            <w:fldChar w:fldCharType="separate"/>
          </w:r>
          <w:r>
            <w:rPr>
              <w:rFonts w:hint="eastAsia" w:ascii="宋体" w:hAnsi="宋体" w:eastAsia="宋体" w:cs="宋体"/>
              <w:sz w:val="20"/>
              <w:szCs w:val="20"/>
            </w:rPr>
            <w:t>- 78 -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_Toc27696 </w:instrText>
          </w:r>
          <w:r>
            <w:rPr>
              <w:rFonts w:hint="eastAsia" w:ascii="宋体" w:hAnsi="宋体" w:eastAsia="宋体" w:cs="宋体"/>
              <w:sz w:val="20"/>
              <w:szCs w:val="20"/>
            </w:rPr>
            <w:fldChar w:fldCharType="separate"/>
          </w:r>
          <w:r>
            <w:rPr>
              <w:rFonts w:hint="eastAsia" w:ascii="宋体" w:hAnsi="宋体" w:eastAsia="宋体" w:cs="宋体"/>
              <w:bCs/>
              <w:kern w:val="2"/>
              <w:sz w:val="20"/>
              <w:szCs w:val="20"/>
              <w:lang w:val="en-US" w:eastAsia="zh-CN" w:bidi="ar-SA"/>
            </w:rPr>
            <w:t>8.1面临挑战</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_Toc27696 \h </w:instrText>
          </w:r>
          <w:r>
            <w:rPr>
              <w:rFonts w:hint="eastAsia" w:ascii="宋体" w:hAnsi="宋体" w:eastAsia="宋体" w:cs="宋体"/>
              <w:sz w:val="20"/>
              <w:szCs w:val="20"/>
            </w:rPr>
            <w:fldChar w:fldCharType="separate"/>
          </w:r>
          <w:r>
            <w:rPr>
              <w:rFonts w:hint="eastAsia" w:ascii="宋体" w:hAnsi="宋体" w:eastAsia="宋体" w:cs="宋体"/>
              <w:sz w:val="20"/>
              <w:szCs w:val="20"/>
            </w:rPr>
            <w:t>- 78 -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_Toc3465 </w:instrText>
          </w:r>
          <w:r>
            <w:rPr>
              <w:rFonts w:hint="eastAsia" w:ascii="宋体" w:hAnsi="宋体" w:eastAsia="宋体" w:cs="宋体"/>
              <w:sz w:val="20"/>
              <w:szCs w:val="20"/>
            </w:rPr>
            <w:fldChar w:fldCharType="separate"/>
          </w:r>
          <w:r>
            <w:rPr>
              <w:rFonts w:hint="eastAsia" w:ascii="宋体" w:hAnsi="宋体" w:eastAsia="宋体" w:cs="宋体"/>
              <w:bCs/>
              <w:kern w:val="2"/>
              <w:sz w:val="20"/>
              <w:szCs w:val="20"/>
              <w:lang w:val="en-US" w:eastAsia="zh-CN" w:bidi="ar-SA"/>
            </w:rPr>
            <w:t>8.2未来展望</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_Toc3465 \h </w:instrText>
          </w:r>
          <w:r>
            <w:rPr>
              <w:rFonts w:hint="eastAsia" w:ascii="宋体" w:hAnsi="宋体" w:eastAsia="宋体" w:cs="宋体"/>
              <w:sz w:val="20"/>
              <w:szCs w:val="20"/>
            </w:rPr>
            <w:fldChar w:fldCharType="separate"/>
          </w:r>
          <w:r>
            <w:rPr>
              <w:rFonts w:hint="eastAsia" w:ascii="宋体" w:hAnsi="宋体" w:eastAsia="宋体" w:cs="宋体"/>
              <w:sz w:val="20"/>
              <w:szCs w:val="20"/>
            </w:rPr>
            <w:t>- 79 -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spacing w:line="20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_Toc19844 </w:instrText>
          </w:r>
          <w:r>
            <w:rPr>
              <w:rFonts w:hint="eastAsia" w:ascii="宋体" w:hAnsi="宋体" w:eastAsia="宋体" w:cs="宋体"/>
              <w:sz w:val="20"/>
              <w:szCs w:val="20"/>
            </w:rPr>
            <w:fldChar w:fldCharType="separate"/>
          </w:r>
          <w:r>
            <w:rPr>
              <w:rFonts w:hint="eastAsia" w:ascii="宋体" w:hAnsi="宋体" w:eastAsia="宋体" w:cs="宋体"/>
              <w:bCs/>
              <w:sz w:val="20"/>
              <w:szCs w:val="20"/>
            </w:rPr>
            <w:t>附表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_Toc19844 \h </w:instrText>
          </w:r>
          <w:r>
            <w:rPr>
              <w:rFonts w:hint="eastAsia" w:ascii="宋体" w:hAnsi="宋体" w:eastAsia="宋体" w:cs="宋体"/>
              <w:sz w:val="20"/>
              <w:szCs w:val="20"/>
            </w:rPr>
            <w:fldChar w:fldCharType="separate"/>
          </w:r>
          <w:r>
            <w:rPr>
              <w:rFonts w:hint="eastAsia" w:ascii="宋体" w:hAnsi="宋体" w:eastAsia="宋体" w:cs="宋体"/>
              <w:sz w:val="20"/>
              <w:szCs w:val="20"/>
            </w:rPr>
            <w:t>- 80 -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keepNext w:val="0"/>
            <w:keepLines w:val="0"/>
            <w:pageBreakBefore w:val="0"/>
            <w:widowControl w:val="0"/>
            <w:kinsoku/>
            <w:wordWrap/>
            <w:overflowPunct/>
            <w:topLinePunct w:val="0"/>
            <w:autoSpaceDE/>
            <w:autoSpaceDN/>
            <w:bidi w:val="0"/>
            <w:adjustRightInd/>
            <w:snapToGrid/>
            <w:spacing w:before="0" w:after="0" w:line="200" w:lineRule="exact"/>
            <w:jc w:val="both"/>
            <w:textAlignment w:val="auto"/>
            <w:rPr>
              <w:rFonts w:hint="eastAsia" w:ascii="宋体" w:hAnsi="宋体" w:cs="宋体"/>
              <w:b/>
              <w:bCs/>
              <w:sz w:val="28"/>
              <w:szCs w:val="28"/>
              <w:lang w:val="en-US" w:eastAsia="zh-CN"/>
            </w:rPr>
            <w:sectPr>
              <w:headerReference r:id="rId5" w:type="default"/>
              <w:pgSz w:w="11906" w:h="16838"/>
              <w:pgMar w:top="1440" w:right="1800" w:bottom="1440" w:left="1800" w:header="851" w:footer="992" w:gutter="0"/>
              <w:pgNumType w:fmt="numberInDash" w:start="1"/>
              <w:cols w:space="425" w:num="1"/>
              <w:docGrid w:type="lines" w:linePitch="312" w:charSpace="0"/>
            </w:sectPr>
          </w:pPr>
          <w:r>
            <w:rPr>
              <w:rFonts w:hint="eastAsia" w:ascii="宋体" w:hAnsi="宋体" w:eastAsia="宋体" w:cs="宋体"/>
              <w:sz w:val="20"/>
              <w:szCs w:val="20"/>
            </w:rPr>
            <w:fldChar w:fldCharType="end"/>
          </w:r>
        </w:p>
      </w:sdtContent>
    </w:sdt>
    <w:p>
      <w:pPr>
        <w:pStyle w:val="10"/>
        <w:keepNext w:val="0"/>
        <w:keepLines w:val="0"/>
        <w:pageBreakBefore w:val="0"/>
        <w:tabs>
          <w:tab w:val="right" w:leader="dot" w:pos="9746"/>
        </w:tabs>
        <w:kinsoku/>
        <w:wordWrap/>
        <w:overflowPunct/>
        <w:topLinePunct w:val="0"/>
        <w:autoSpaceDE/>
        <w:autoSpaceDN/>
        <w:bidi w:val="0"/>
        <w:adjustRightInd/>
        <w:snapToGrid/>
        <w:spacing w:line="240" w:lineRule="exact"/>
        <w:jc w:val="center"/>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表目录</w:t>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TOC \h \c "表"</w:instrText>
      </w:r>
      <w:r>
        <w:rPr>
          <w:rFonts w:hint="eastAsia" w:ascii="宋体" w:hAnsi="宋体" w:eastAsia="宋体" w:cs="宋体"/>
          <w:sz w:val="20"/>
          <w:szCs w:val="20"/>
        </w:rPr>
        <w:fldChar w:fldCharType="separate"/>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_Toc24694 </w:instrText>
      </w:r>
      <w:r>
        <w:rPr>
          <w:rFonts w:hint="eastAsia" w:ascii="宋体" w:hAnsi="宋体" w:eastAsia="宋体" w:cs="宋体"/>
          <w:sz w:val="20"/>
          <w:szCs w:val="20"/>
        </w:rPr>
        <w:fldChar w:fldCharType="separate"/>
      </w:r>
      <w:r>
        <w:rPr>
          <w:rFonts w:hint="eastAsia" w:ascii="宋体" w:hAnsi="宋体" w:eastAsia="宋体" w:cs="宋体"/>
          <w:sz w:val="20"/>
          <w:szCs w:val="20"/>
        </w:rPr>
        <w:t xml:space="preserve">表 1 </w:t>
      </w:r>
      <w:r>
        <w:rPr>
          <w:rFonts w:hint="eastAsia" w:ascii="宋体" w:hAnsi="宋体" w:eastAsia="宋体" w:cs="宋体"/>
          <w:sz w:val="20"/>
          <w:szCs w:val="20"/>
          <w:lang w:eastAsia="zh-CN"/>
        </w:rPr>
        <w:t xml:space="preserve">  教学资源表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_Toc24694 \h </w:instrText>
      </w:r>
      <w:r>
        <w:rPr>
          <w:rFonts w:hint="eastAsia" w:ascii="宋体" w:hAnsi="宋体" w:eastAsia="宋体" w:cs="宋体"/>
          <w:sz w:val="20"/>
          <w:szCs w:val="20"/>
        </w:rPr>
        <w:fldChar w:fldCharType="separate"/>
      </w:r>
      <w:r>
        <w:rPr>
          <w:rFonts w:hint="eastAsia" w:ascii="宋体" w:hAnsi="宋体" w:eastAsia="宋体" w:cs="宋体"/>
          <w:sz w:val="20"/>
          <w:szCs w:val="20"/>
        </w:rPr>
        <w:t>- 3 -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_Toc17122 </w:instrText>
      </w:r>
      <w:r>
        <w:rPr>
          <w:rFonts w:hint="eastAsia" w:ascii="宋体" w:hAnsi="宋体" w:eastAsia="宋体" w:cs="宋体"/>
          <w:sz w:val="20"/>
          <w:szCs w:val="20"/>
        </w:rPr>
        <w:fldChar w:fldCharType="separate"/>
      </w:r>
      <w:r>
        <w:rPr>
          <w:rFonts w:hint="eastAsia" w:ascii="宋体" w:hAnsi="宋体" w:eastAsia="宋体" w:cs="宋体"/>
          <w:sz w:val="20"/>
          <w:szCs w:val="20"/>
        </w:rPr>
        <w:t xml:space="preserve">表 2 </w:t>
      </w:r>
      <w:r>
        <w:rPr>
          <w:rFonts w:hint="eastAsia" w:ascii="宋体" w:hAnsi="宋体" w:eastAsia="宋体" w:cs="宋体"/>
          <w:sz w:val="20"/>
          <w:szCs w:val="20"/>
          <w:lang w:eastAsia="zh-CN"/>
        </w:rPr>
        <w:t xml:space="preserve">  专业建设情况统计表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_Toc17122 \h </w:instrText>
      </w:r>
      <w:r>
        <w:rPr>
          <w:rFonts w:hint="eastAsia" w:ascii="宋体" w:hAnsi="宋体" w:eastAsia="宋体" w:cs="宋体"/>
          <w:sz w:val="20"/>
          <w:szCs w:val="20"/>
        </w:rPr>
        <w:fldChar w:fldCharType="separate"/>
      </w:r>
      <w:r>
        <w:rPr>
          <w:rFonts w:hint="eastAsia" w:ascii="宋体" w:hAnsi="宋体" w:eastAsia="宋体" w:cs="宋体"/>
          <w:sz w:val="20"/>
          <w:szCs w:val="20"/>
        </w:rPr>
        <w:t>- 5 -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_Toc11526 </w:instrText>
      </w:r>
      <w:r>
        <w:rPr>
          <w:rFonts w:hint="eastAsia" w:ascii="宋体" w:hAnsi="宋体" w:eastAsia="宋体" w:cs="宋体"/>
          <w:sz w:val="20"/>
          <w:szCs w:val="20"/>
        </w:rPr>
        <w:fldChar w:fldCharType="separate"/>
      </w:r>
      <w:r>
        <w:rPr>
          <w:rFonts w:hint="eastAsia" w:ascii="宋体" w:hAnsi="宋体" w:eastAsia="宋体" w:cs="宋体"/>
          <w:sz w:val="20"/>
          <w:szCs w:val="20"/>
        </w:rPr>
        <w:t xml:space="preserve">表 3 </w:t>
      </w:r>
      <w:r>
        <w:rPr>
          <w:rFonts w:hint="eastAsia" w:ascii="宋体" w:hAnsi="宋体" w:eastAsia="宋体" w:cs="宋体"/>
          <w:sz w:val="20"/>
          <w:szCs w:val="20"/>
          <w:lang w:eastAsia="zh-CN"/>
        </w:rPr>
        <w:t xml:space="preserve">  贯通培养项目专业招生计划表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_Toc11526 \h </w:instrText>
      </w:r>
      <w:r>
        <w:rPr>
          <w:rFonts w:hint="eastAsia" w:ascii="宋体" w:hAnsi="宋体" w:eastAsia="宋体" w:cs="宋体"/>
          <w:sz w:val="20"/>
          <w:szCs w:val="20"/>
        </w:rPr>
        <w:fldChar w:fldCharType="separate"/>
      </w:r>
      <w:r>
        <w:rPr>
          <w:rFonts w:hint="eastAsia" w:ascii="宋体" w:hAnsi="宋体" w:eastAsia="宋体" w:cs="宋体"/>
          <w:sz w:val="20"/>
          <w:szCs w:val="20"/>
        </w:rPr>
        <w:t>- 6 -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_Toc16920 </w:instrText>
      </w:r>
      <w:r>
        <w:rPr>
          <w:rFonts w:hint="eastAsia" w:ascii="宋体" w:hAnsi="宋体" w:eastAsia="宋体" w:cs="宋体"/>
          <w:sz w:val="20"/>
          <w:szCs w:val="20"/>
        </w:rPr>
        <w:fldChar w:fldCharType="separate"/>
      </w:r>
      <w:r>
        <w:rPr>
          <w:rFonts w:hint="eastAsia" w:ascii="宋体" w:hAnsi="宋体" w:eastAsia="宋体" w:cs="宋体"/>
          <w:sz w:val="20"/>
          <w:szCs w:val="20"/>
        </w:rPr>
        <w:t xml:space="preserve">表 4 </w:t>
      </w:r>
      <w:r>
        <w:rPr>
          <w:rFonts w:hint="eastAsia" w:ascii="宋体" w:hAnsi="宋体" w:eastAsia="宋体" w:cs="宋体"/>
          <w:sz w:val="20"/>
          <w:szCs w:val="20"/>
          <w:lang w:eastAsia="zh-CN"/>
        </w:rPr>
        <w:t xml:space="preserve">  课程建设情况统计表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_Toc16920 \h </w:instrText>
      </w:r>
      <w:r>
        <w:rPr>
          <w:rFonts w:hint="eastAsia" w:ascii="宋体" w:hAnsi="宋体" w:eastAsia="宋体" w:cs="宋体"/>
          <w:sz w:val="20"/>
          <w:szCs w:val="20"/>
        </w:rPr>
        <w:fldChar w:fldCharType="separate"/>
      </w:r>
      <w:r>
        <w:rPr>
          <w:rFonts w:hint="eastAsia" w:ascii="宋体" w:hAnsi="宋体" w:eastAsia="宋体" w:cs="宋体"/>
          <w:sz w:val="20"/>
          <w:szCs w:val="20"/>
        </w:rPr>
        <w:t>- 7 -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_Toc32337 </w:instrText>
      </w:r>
      <w:r>
        <w:rPr>
          <w:rFonts w:hint="eastAsia" w:ascii="宋体" w:hAnsi="宋体" w:eastAsia="宋体" w:cs="宋体"/>
          <w:sz w:val="20"/>
          <w:szCs w:val="20"/>
        </w:rPr>
        <w:fldChar w:fldCharType="separate"/>
      </w:r>
      <w:r>
        <w:rPr>
          <w:rFonts w:hint="eastAsia" w:ascii="宋体" w:hAnsi="宋体" w:eastAsia="宋体" w:cs="宋体"/>
          <w:sz w:val="20"/>
          <w:szCs w:val="20"/>
        </w:rPr>
        <w:t xml:space="preserve">表 5 </w:t>
      </w:r>
      <w:r>
        <w:rPr>
          <w:rFonts w:hint="eastAsia" w:ascii="宋体" w:hAnsi="宋体" w:eastAsia="宋体" w:cs="宋体"/>
          <w:sz w:val="20"/>
          <w:szCs w:val="20"/>
          <w:lang w:eastAsia="zh-CN"/>
        </w:rPr>
        <w:t xml:space="preserve">  精品课程一览表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_Toc32337 \h </w:instrText>
      </w:r>
      <w:r>
        <w:rPr>
          <w:rFonts w:hint="eastAsia" w:ascii="宋体" w:hAnsi="宋体" w:eastAsia="宋体" w:cs="宋体"/>
          <w:sz w:val="20"/>
          <w:szCs w:val="20"/>
        </w:rPr>
        <w:fldChar w:fldCharType="separate"/>
      </w:r>
      <w:r>
        <w:rPr>
          <w:rFonts w:hint="eastAsia" w:ascii="宋体" w:hAnsi="宋体" w:eastAsia="宋体" w:cs="宋体"/>
          <w:sz w:val="20"/>
          <w:szCs w:val="20"/>
        </w:rPr>
        <w:t>- 7 -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_Toc6721 </w:instrText>
      </w:r>
      <w:r>
        <w:rPr>
          <w:rFonts w:hint="eastAsia" w:ascii="宋体" w:hAnsi="宋体" w:eastAsia="宋体" w:cs="宋体"/>
          <w:sz w:val="20"/>
          <w:szCs w:val="20"/>
        </w:rPr>
        <w:fldChar w:fldCharType="separate"/>
      </w:r>
      <w:r>
        <w:rPr>
          <w:rFonts w:hint="eastAsia" w:ascii="宋体" w:hAnsi="宋体" w:eastAsia="宋体" w:cs="宋体"/>
          <w:sz w:val="20"/>
          <w:szCs w:val="20"/>
        </w:rPr>
        <w:t xml:space="preserve">表 6 </w:t>
      </w:r>
      <w:r>
        <w:rPr>
          <w:rFonts w:hint="eastAsia" w:ascii="宋体" w:hAnsi="宋体" w:eastAsia="宋体" w:cs="宋体"/>
          <w:sz w:val="20"/>
          <w:szCs w:val="20"/>
          <w:lang w:eastAsia="zh-CN"/>
        </w:rPr>
        <w:t xml:space="preserve">  在校生专业分布统计表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_Toc6721 \h </w:instrText>
      </w:r>
      <w:r>
        <w:rPr>
          <w:rFonts w:hint="eastAsia" w:ascii="宋体" w:hAnsi="宋体" w:eastAsia="宋体" w:cs="宋体"/>
          <w:sz w:val="20"/>
          <w:szCs w:val="20"/>
        </w:rPr>
        <w:fldChar w:fldCharType="separate"/>
      </w:r>
      <w:r>
        <w:rPr>
          <w:rFonts w:hint="eastAsia" w:ascii="宋体" w:hAnsi="宋体" w:eastAsia="宋体" w:cs="宋体"/>
          <w:sz w:val="20"/>
          <w:szCs w:val="20"/>
        </w:rPr>
        <w:t>- 8 -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_Toc24986 </w:instrText>
      </w:r>
      <w:r>
        <w:rPr>
          <w:rFonts w:hint="eastAsia" w:ascii="宋体" w:hAnsi="宋体" w:eastAsia="宋体" w:cs="宋体"/>
          <w:sz w:val="20"/>
          <w:szCs w:val="20"/>
        </w:rPr>
        <w:fldChar w:fldCharType="separate"/>
      </w:r>
      <w:r>
        <w:rPr>
          <w:rFonts w:hint="eastAsia" w:ascii="宋体" w:hAnsi="宋体" w:eastAsia="宋体" w:cs="宋体"/>
          <w:sz w:val="20"/>
          <w:szCs w:val="20"/>
        </w:rPr>
        <w:t xml:space="preserve">表 7 </w:t>
      </w:r>
      <w:r>
        <w:rPr>
          <w:rFonts w:hint="eastAsia" w:ascii="宋体" w:hAnsi="宋体" w:eastAsia="宋体" w:cs="宋体"/>
          <w:sz w:val="20"/>
          <w:szCs w:val="20"/>
          <w:lang w:eastAsia="zh-CN"/>
        </w:rPr>
        <w:t xml:space="preserve">  学生发展</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_Toc24986 \h </w:instrText>
      </w:r>
      <w:r>
        <w:rPr>
          <w:rFonts w:hint="eastAsia" w:ascii="宋体" w:hAnsi="宋体" w:eastAsia="宋体" w:cs="宋体"/>
          <w:sz w:val="20"/>
          <w:szCs w:val="20"/>
        </w:rPr>
        <w:fldChar w:fldCharType="separate"/>
      </w:r>
      <w:r>
        <w:rPr>
          <w:rFonts w:hint="eastAsia" w:ascii="宋体" w:hAnsi="宋体" w:eastAsia="宋体" w:cs="宋体"/>
          <w:sz w:val="20"/>
          <w:szCs w:val="20"/>
        </w:rPr>
        <w:t>- 12 -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_Toc24931 </w:instrText>
      </w:r>
      <w:r>
        <w:rPr>
          <w:rFonts w:hint="eastAsia" w:ascii="宋体" w:hAnsi="宋体" w:eastAsia="宋体" w:cs="宋体"/>
          <w:sz w:val="20"/>
          <w:szCs w:val="20"/>
        </w:rPr>
        <w:fldChar w:fldCharType="separate"/>
      </w:r>
      <w:r>
        <w:rPr>
          <w:rFonts w:hint="eastAsia" w:ascii="宋体" w:hAnsi="宋体" w:eastAsia="宋体" w:cs="宋体"/>
          <w:sz w:val="20"/>
          <w:szCs w:val="20"/>
        </w:rPr>
        <w:t xml:space="preserve">表 8 </w:t>
      </w:r>
      <w:r>
        <w:rPr>
          <w:rFonts w:hint="eastAsia" w:ascii="宋体" w:hAnsi="宋体" w:eastAsia="宋体" w:cs="宋体"/>
          <w:sz w:val="20"/>
          <w:szCs w:val="20"/>
          <w:lang w:eastAsia="zh-CN"/>
        </w:rPr>
        <w:t xml:space="preserve">  学生获奖情况统计表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_Toc24931 \h </w:instrText>
      </w:r>
      <w:r>
        <w:rPr>
          <w:rFonts w:hint="eastAsia" w:ascii="宋体" w:hAnsi="宋体" w:eastAsia="宋体" w:cs="宋体"/>
          <w:sz w:val="20"/>
          <w:szCs w:val="20"/>
        </w:rPr>
        <w:fldChar w:fldCharType="separate"/>
      </w:r>
      <w:r>
        <w:rPr>
          <w:rFonts w:hint="eastAsia" w:ascii="宋体" w:hAnsi="宋体" w:eastAsia="宋体" w:cs="宋体"/>
          <w:sz w:val="20"/>
          <w:szCs w:val="20"/>
        </w:rPr>
        <w:t>- 24 -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_Toc28775 </w:instrText>
      </w:r>
      <w:r>
        <w:rPr>
          <w:rFonts w:hint="eastAsia" w:ascii="宋体" w:hAnsi="宋体" w:eastAsia="宋体" w:cs="宋体"/>
          <w:sz w:val="20"/>
          <w:szCs w:val="20"/>
        </w:rPr>
        <w:fldChar w:fldCharType="separate"/>
      </w:r>
      <w:r>
        <w:rPr>
          <w:rFonts w:hint="eastAsia" w:ascii="宋体" w:hAnsi="宋体" w:eastAsia="宋体" w:cs="宋体"/>
          <w:sz w:val="20"/>
          <w:szCs w:val="20"/>
        </w:rPr>
        <w:t xml:space="preserve">表 </w:t>
      </w:r>
      <w:r>
        <w:rPr>
          <w:rFonts w:hint="eastAsia" w:ascii="宋体" w:hAnsi="宋体" w:cs="宋体"/>
          <w:sz w:val="20"/>
          <w:szCs w:val="20"/>
          <w:lang w:val="en-US" w:eastAsia="zh-CN"/>
        </w:rPr>
        <w:t>9</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计分卡</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_Toc28775 \h </w:instrText>
      </w:r>
      <w:r>
        <w:rPr>
          <w:rFonts w:hint="eastAsia" w:ascii="宋体" w:hAnsi="宋体" w:eastAsia="宋体" w:cs="宋体"/>
          <w:sz w:val="20"/>
          <w:szCs w:val="20"/>
        </w:rPr>
        <w:fldChar w:fldCharType="separate"/>
      </w:r>
      <w:r>
        <w:rPr>
          <w:rFonts w:hint="eastAsia" w:ascii="宋体" w:hAnsi="宋体" w:eastAsia="宋体" w:cs="宋体"/>
          <w:sz w:val="20"/>
          <w:szCs w:val="20"/>
        </w:rPr>
        <w:t>- 34 -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_Toc16759 </w:instrText>
      </w:r>
      <w:r>
        <w:rPr>
          <w:rFonts w:hint="eastAsia" w:ascii="宋体" w:hAnsi="宋体" w:eastAsia="宋体" w:cs="宋体"/>
          <w:sz w:val="20"/>
          <w:szCs w:val="20"/>
        </w:rPr>
        <w:fldChar w:fldCharType="separate"/>
      </w:r>
      <w:r>
        <w:rPr>
          <w:rFonts w:hint="eastAsia" w:ascii="宋体" w:hAnsi="宋体" w:eastAsia="宋体" w:cs="宋体"/>
          <w:sz w:val="20"/>
          <w:szCs w:val="20"/>
        </w:rPr>
        <w:t>表 1</w:t>
      </w:r>
      <w:r>
        <w:rPr>
          <w:rFonts w:hint="eastAsia" w:ascii="宋体" w:hAnsi="宋体" w:cs="宋体"/>
          <w:sz w:val="20"/>
          <w:szCs w:val="20"/>
          <w:lang w:val="en-US" w:eastAsia="zh-CN"/>
        </w:rPr>
        <w:t>0</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校外实习基地建设情况表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_Toc16759 \h </w:instrText>
      </w:r>
      <w:r>
        <w:rPr>
          <w:rFonts w:hint="eastAsia" w:ascii="宋体" w:hAnsi="宋体" w:eastAsia="宋体" w:cs="宋体"/>
          <w:sz w:val="20"/>
          <w:szCs w:val="20"/>
        </w:rPr>
        <w:fldChar w:fldCharType="separate"/>
      </w:r>
      <w:r>
        <w:rPr>
          <w:rFonts w:hint="eastAsia" w:ascii="宋体" w:hAnsi="宋体" w:eastAsia="宋体" w:cs="宋体"/>
          <w:sz w:val="20"/>
          <w:szCs w:val="20"/>
        </w:rPr>
        <w:t>- 35 -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_Toc11971 </w:instrText>
      </w:r>
      <w:r>
        <w:rPr>
          <w:rFonts w:hint="eastAsia" w:ascii="宋体" w:hAnsi="宋体" w:eastAsia="宋体" w:cs="宋体"/>
          <w:sz w:val="20"/>
          <w:szCs w:val="20"/>
        </w:rPr>
        <w:fldChar w:fldCharType="separate"/>
      </w:r>
      <w:r>
        <w:rPr>
          <w:rFonts w:hint="eastAsia" w:ascii="宋体" w:hAnsi="宋体" w:eastAsia="宋体" w:cs="宋体"/>
          <w:sz w:val="20"/>
          <w:szCs w:val="20"/>
        </w:rPr>
        <w:t>表 1</w:t>
      </w:r>
      <w:r>
        <w:rPr>
          <w:rFonts w:hint="eastAsia" w:ascii="宋体" w:hAnsi="宋体" w:cs="宋体"/>
          <w:sz w:val="20"/>
          <w:szCs w:val="20"/>
          <w:lang w:val="en-US" w:eastAsia="zh-CN"/>
        </w:rPr>
        <w:t>1</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2</w:t>
      </w:r>
      <w:r>
        <w:rPr>
          <w:rFonts w:hint="eastAsia" w:ascii="宋体" w:hAnsi="宋体" w:cs="宋体"/>
          <w:sz w:val="20"/>
          <w:szCs w:val="20"/>
          <w:lang w:val="en-US" w:eastAsia="zh-CN"/>
        </w:rPr>
        <w:t>2</w:t>
      </w:r>
      <w:r>
        <w:rPr>
          <w:rFonts w:hint="eastAsia" w:ascii="宋体" w:hAnsi="宋体" w:eastAsia="宋体" w:cs="宋体"/>
          <w:sz w:val="20"/>
          <w:szCs w:val="20"/>
          <w:lang w:eastAsia="zh-CN"/>
        </w:rPr>
        <w:t>-2</w:t>
      </w:r>
      <w:r>
        <w:rPr>
          <w:rFonts w:hint="eastAsia" w:ascii="宋体" w:hAnsi="宋体" w:cs="宋体"/>
          <w:sz w:val="20"/>
          <w:szCs w:val="20"/>
          <w:lang w:val="en-US" w:eastAsia="zh-CN"/>
        </w:rPr>
        <w:t>3</w:t>
      </w:r>
      <w:r>
        <w:rPr>
          <w:rFonts w:hint="eastAsia" w:ascii="宋体" w:hAnsi="宋体" w:eastAsia="宋体" w:cs="宋体"/>
          <w:sz w:val="20"/>
          <w:szCs w:val="20"/>
          <w:lang w:eastAsia="zh-CN"/>
        </w:rPr>
        <w:t>学年各专业与主要合作企业产学合作情况一览表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_Toc11971 \h </w:instrText>
      </w:r>
      <w:r>
        <w:rPr>
          <w:rFonts w:hint="eastAsia" w:ascii="宋体" w:hAnsi="宋体" w:eastAsia="宋体" w:cs="宋体"/>
          <w:sz w:val="20"/>
          <w:szCs w:val="20"/>
        </w:rPr>
        <w:fldChar w:fldCharType="separate"/>
      </w:r>
      <w:r>
        <w:rPr>
          <w:rFonts w:hint="eastAsia" w:ascii="宋体" w:hAnsi="宋体" w:eastAsia="宋体" w:cs="宋体"/>
          <w:sz w:val="20"/>
          <w:szCs w:val="20"/>
        </w:rPr>
        <w:t>- 36 -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_Toc11931 </w:instrText>
      </w:r>
      <w:r>
        <w:rPr>
          <w:rFonts w:hint="eastAsia" w:ascii="宋体" w:hAnsi="宋体" w:eastAsia="宋体" w:cs="宋体"/>
          <w:sz w:val="20"/>
          <w:szCs w:val="20"/>
        </w:rPr>
        <w:fldChar w:fldCharType="separate"/>
      </w:r>
      <w:r>
        <w:rPr>
          <w:rFonts w:hint="eastAsia" w:ascii="宋体" w:hAnsi="宋体" w:eastAsia="宋体" w:cs="宋体"/>
          <w:sz w:val="20"/>
          <w:szCs w:val="20"/>
        </w:rPr>
        <w:t>表 1</w:t>
      </w:r>
      <w:r>
        <w:rPr>
          <w:rFonts w:hint="eastAsia" w:ascii="宋体" w:hAnsi="宋体" w:cs="宋体"/>
          <w:sz w:val="20"/>
          <w:szCs w:val="20"/>
          <w:lang w:val="en-US" w:eastAsia="zh-CN"/>
        </w:rPr>
        <w:t>2</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服务贡献表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_Toc11931 \h </w:instrText>
      </w:r>
      <w:r>
        <w:rPr>
          <w:rFonts w:hint="eastAsia" w:ascii="宋体" w:hAnsi="宋体" w:eastAsia="宋体" w:cs="宋体"/>
          <w:sz w:val="20"/>
          <w:szCs w:val="20"/>
        </w:rPr>
        <w:fldChar w:fldCharType="separate"/>
      </w:r>
      <w:r>
        <w:rPr>
          <w:rFonts w:hint="eastAsia" w:ascii="宋体" w:hAnsi="宋体" w:eastAsia="宋体" w:cs="宋体"/>
          <w:sz w:val="20"/>
          <w:szCs w:val="20"/>
        </w:rPr>
        <w:t>- 38 -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_Toc16726 </w:instrText>
      </w:r>
      <w:r>
        <w:rPr>
          <w:rFonts w:hint="eastAsia" w:ascii="宋体" w:hAnsi="宋体" w:eastAsia="宋体" w:cs="宋体"/>
          <w:sz w:val="20"/>
          <w:szCs w:val="20"/>
        </w:rPr>
        <w:fldChar w:fldCharType="separate"/>
      </w:r>
      <w:r>
        <w:rPr>
          <w:rFonts w:hint="eastAsia" w:ascii="宋体" w:hAnsi="宋体" w:eastAsia="宋体" w:cs="宋体"/>
          <w:sz w:val="20"/>
          <w:szCs w:val="20"/>
        </w:rPr>
        <w:t>表 1</w:t>
      </w:r>
      <w:r>
        <w:rPr>
          <w:rFonts w:hint="eastAsia" w:ascii="宋体" w:hAnsi="宋体" w:cs="宋体"/>
          <w:sz w:val="20"/>
          <w:szCs w:val="20"/>
          <w:lang w:val="en-US" w:eastAsia="zh-CN"/>
        </w:rPr>
        <w:t>3</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职业教育教师企业实践基地情况</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_Toc16726 \h </w:instrText>
      </w:r>
      <w:r>
        <w:rPr>
          <w:rFonts w:hint="eastAsia" w:ascii="宋体" w:hAnsi="宋体" w:eastAsia="宋体" w:cs="宋体"/>
          <w:sz w:val="20"/>
          <w:szCs w:val="20"/>
        </w:rPr>
        <w:fldChar w:fldCharType="separate"/>
      </w:r>
      <w:r>
        <w:rPr>
          <w:rFonts w:hint="eastAsia" w:ascii="宋体" w:hAnsi="宋体" w:eastAsia="宋体" w:cs="宋体"/>
          <w:sz w:val="20"/>
          <w:szCs w:val="20"/>
        </w:rPr>
        <w:t>- 65 -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_Toc7591 </w:instrText>
      </w:r>
      <w:r>
        <w:rPr>
          <w:rFonts w:hint="eastAsia" w:ascii="宋体" w:hAnsi="宋体" w:eastAsia="宋体" w:cs="宋体"/>
          <w:sz w:val="20"/>
          <w:szCs w:val="20"/>
        </w:rPr>
        <w:fldChar w:fldCharType="separate"/>
      </w:r>
      <w:r>
        <w:rPr>
          <w:rFonts w:hint="eastAsia" w:ascii="宋体" w:hAnsi="宋体" w:eastAsia="宋体" w:cs="宋体"/>
          <w:sz w:val="20"/>
          <w:szCs w:val="20"/>
        </w:rPr>
        <w:t>表 1</w:t>
      </w:r>
      <w:r>
        <w:rPr>
          <w:rFonts w:hint="eastAsia" w:ascii="宋体" w:hAnsi="宋体" w:cs="宋体"/>
          <w:sz w:val="20"/>
          <w:szCs w:val="20"/>
          <w:lang w:val="en-US" w:eastAsia="zh-CN"/>
        </w:rPr>
        <w:t>4</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落实政策表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_Toc7591 \h </w:instrText>
      </w:r>
      <w:r>
        <w:rPr>
          <w:rFonts w:hint="eastAsia" w:ascii="宋体" w:hAnsi="宋体" w:eastAsia="宋体" w:cs="宋体"/>
          <w:sz w:val="20"/>
          <w:szCs w:val="20"/>
        </w:rPr>
        <w:fldChar w:fldCharType="separate"/>
      </w:r>
      <w:r>
        <w:rPr>
          <w:rFonts w:hint="eastAsia" w:ascii="宋体" w:hAnsi="宋体" w:eastAsia="宋体" w:cs="宋体"/>
          <w:sz w:val="20"/>
          <w:szCs w:val="20"/>
        </w:rPr>
        <w:t>- 69 -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_Toc8339 </w:instrText>
      </w:r>
      <w:r>
        <w:rPr>
          <w:rFonts w:hint="eastAsia" w:ascii="宋体" w:hAnsi="宋体" w:eastAsia="宋体" w:cs="宋体"/>
          <w:sz w:val="20"/>
          <w:szCs w:val="20"/>
        </w:rPr>
        <w:fldChar w:fldCharType="separate"/>
      </w:r>
      <w:r>
        <w:rPr>
          <w:rFonts w:hint="eastAsia" w:ascii="宋体" w:hAnsi="宋体" w:eastAsia="宋体" w:cs="宋体"/>
          <w:sz w:val="20"/>
          <w:szCs w:val="20"/>
        </w:rPr>
        <w:t>表 1</w:t>
      </w:r>
      <w:r>
        <w:rPr>
          <w:rFonts w:hint="eastAsia" w:ascii="宋体" w:hAnsi="宋体" w:cs="宋体"/>
          <w:sz w:val="20"/>
          <w:szCs w:val="20"/>
          <w:lang w:val="en-US" w:eastAsia="zh-CN"/>
        </w:rPr>
        <w:t>5</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办学条件</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_Toc8339 \h </w:instrText>
      </w:r>
      <w:r>
        <w:rPr>
          <w:rFonts w:hint="eastAsia" w:ascii="宋体" w:hAnsi="宋体" w:eastAsia="宋体" w:cs="宋体"/>
          <w:sz w:val="20"/>
          <w:szCs w:val="20"/>
        </w:rPr>
        <w:fldChar w:fldCharType="separate"/>
      </w:r>
      <w:r>
        <w:rPr>
          <w:rFonts w:hint="eastAsia" w:ascii="宋体" w:hAnsi="宋体" w:eastAsia="宋体" w:cs="宋体"/>
          <w:sz w:val="20"/>
          <w:szCs w:val="20"/>
        </w:rPr>
        <w:t>- 72 -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_Toc9791 </w:instrText>
      </w:r>
      <w:r>
        <w:rPr>
          <w:rFonts w:hint="eastAsia" w:ascii="宋体" w:hAnsi="宋体" w:eastAsia="宋体" w:cs="宋体"/>
          <w:sz w:val="20"/>
          <w:szCs w:val="20"/>
        </w:rPr>
        <w:fldChar w:fldCharType="separate"/>
      </w:r>
      <w:r>
        <w:rPr>
          <w:rFonts w:hint="eastAsia" w:ascii="宋体" w:hAnsi="宋体" w:eastAsia="宋体" w:cs="宋体"/>
          <w:sz w:val="20"/>
          <w:szCs w:val="20"/>
        </w:rPr>
        <w:t>表 1</w:t>
      </w:r>
      <w:r>
        <w:rPr>
          <w:rFonts w:hint="eastAsia" w:ascii="宋体" w:hAnsi="宋体" w:cs="宋体"/>
          <w:sz w:val="20"/>
          <w:szCs w:val="20"/>
          <w:lang w:val="en-US" w:eastAsia="zh-CN"/>
        </w:rPr>
        <w:t>6</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学校硬件基本情况</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_Toc9791 \h </w:instrText>
      </w:r>
      <w:r>
        <w:rPr>
          <w:rFonts w:hint="eastAsia" w:ascii="宋体" w:hAnsi="宋体" w:eastAsia="宋体" w:cs="宋体"/>
          <w:sz w:val="20"/>
          <w:szCs w:val="20"/>
        </w:rPr>
        <w:fldChar w:fldCharType="separate"/>
      </w:r>
      <w:r>
        <w:rPr>
          <w:rFonts w:hint="eastAsia" w:ascii="宋体" w:hAnsi="宋体" w:eastAsia="宋体" w:cs="宋体"/>
          <w:sz w:val="20"/>
          <w:szCs w:val="20"/>
        </w:rPr>
        <w:t>- 73 -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_Toc23010 </w:instrText>
      </w:r>
      <w:r>
        <w:rPr>
          <w:rFonts w:hint="eastAsia" w:ascii="宋体" w:hAnsi="宋体" w:eastAsia="宋体" w:cs="宋体"/>
          <w:sz w:val="20"/>
          <w:szCs w:val="20"/>
        </w:rPr>
        <w:fldChar w:fldCharType="separate"/>
      </w:r>
      <w:r>
        <w:rPr>
          <w:rFonts w:hint="eastAsia" w:ascii="宋体" w:hAnsi="宋体" w:eastAsia="宋体" w:cs="宋体"/>
          <w:sz w:val="20"/>
          <w:szCs w:val="20"/>
        </w:rPr>
        <w:t>表 1</w:t>
      </w:r>
      <w:r>
        <w:rPr>
          <w:rFonts w:hint="eastAsia" w:ascii="宋体" w:hAnsi="宋体" w:cs="宋体"/>
          <w:sz w:val="20"/>
          <w:szCs w:val="20"/>
          <w:lang w:val="en-US" w:eastAsia="zh-CN"/>
        </w:rPr>
        <w:t>7</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学校基本办学条件指标</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_Toc23010 \h </w:instrText>
      </w:r>
      <w:r>
        <w:rPr>
          <w:rFonts w:hint="eastAsia" w:ascii="宋体" w:hAnsi="宋体" w:eastAsia="宋体" w:cs="宋体"/>
          <w:sz w:val="20"/>
          <w:szCs w:val="20"/>
        </w:rPr>
        <w:fldChar w:fldCharType="separate"/>
      </w:r>
      <w:r>
        <w:rPr>
          <w:rFonts w:hint="eastAsia" w:ascii="宋体" w:hAnsi="宋体" w:eastAsia="宋体" w:cs="宋体"/>
          <w:sz w:val="20"/>
          <w:szCs w:val="20"/>
        </w:rPr>
        <w:t>- 73 -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_Toc16039 </w:instrText>
      </w:r>
      <w:r>
        <w:rPr>
          <w:rFonts w:hint="eastAsia" w:ascii="宋体" w:hAnsi="宋体" w:eastAsia="宋体" w:cs="宋体"/>
          <w:sz w:val="20"/>
          <w:szCs w:val="20"/>
        </w:rPr>
        <w:fldChar w:fldCharType="separate"/>
      </w:r>
      <w:r>
        <w:rPr>
          <w:rFonts w:hint="eastAsia" w:ascii="宋体" w:hAnsi="宋体" w:eastAsia="宋体" w:cs="宋体"/>
          <w:sz w:val="20"/>
          <w:szCs w:val="20"/>
        </w:rPr>
        <w:t>表 1</w:t>
      </w:r>
      <w:r>
        <w:rPr>
          <w:rFonts w:hint="eastAsia" w:ascii="宋体" w:hAnsi="宋体" w:cs="宋体"/>
          <w:sz w:val="20"/>
          <w:szCs w:val="20"/>
          <w:lang w:val="en-US" w:eastAsia="zh-CN"/>
        </w:rPr>
        <w:t>8</w:t>
      </w:r>
      <w:r>
        <w:rPr>
          <w:rFonts w:hint="eastAsia" w:ascii="宋体" w:hAnsi="宋体" w:eastAsia="宋体" w:cs="宋体"/>
          <w:sz w:val="20"/>
          <w:szCs w:val="20"/>
        </w:rPr>
        <w:t xml:space="preserve"> </w:t>
      </w:r>
      <w:r>
        <w:rPr>
          <w:rFonts w:hint="eastAsia" w:ascii="宋体" w:hAnsi="宋体" w:eastAsia="宋体" w:cs="宋体"/>
          <w:sz w:val="20"/>
          <w:szCs w:val="20"/>
          <w:lang w:eastAsia="zh-CN"/>
        </w:rPr>
        <w:t xml:space="preserve">  实训基地建设、运行和管理情况</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_Toc16039 \h </w:instrText>
      </w:r>
      <w:r>
        <w:rPr>
          <w:rFonts w:hint="eastAsia" w:ascii="宋体" w:hAnsi="宋体" w:eastAsia="宋体" w:cs="宋体"/>
          <w:sz w:val="20"/>
          <w:szCs w:val="20"/>
        </w:rPr>
        <w:fldChar w:fldCharType="separate"/>
      </w:r>
      <w:r>
        <w:rPr>
          <w:rFonts w:hint="eastAsia" w:ascii="宋体" w:hAnsi="宋体" w:eastAsia="宋体" w:cs="宋体"/>
          <w:sz w:val="20"/>
          <w:szCs w:val="20"/>
        </w:rPr>
        <w:t>- 78 -</w:t>
      </w:r>
      <w:r>
        <w:rPr>
          <w:rFonts w:hint="eastAsia" w:ascii="宋体" w:hAnsi="宋体" w:eastAsia="宋体" w:cs="宋体"/>
          <w:sz w:val="20"/>
          <w:szCs w:val="20"/>
        </w:rPr>
        <w:fldChar w:fldCharType="end"/>
      </w:r>
      <w:r>
        <w:rPr>
          <w:rFonts w:hint="eastAsia" w:ascii="宋体" w:hAnsi="宋体" w:eastAsia="宋体" w:cs="宋体"/>
          <w:sz w:val="20"/>
          <w:szCs w:val="20"/>
        </w:rPr>
        <w:fldChar w:fldCharType="end"/>
      </w:r>
    </w:p>
    <w:p>
      <w:pPr>
        <w:keepNext w:val="0"/>
        <w:keepLines w:val="0"/>
        <w:pageBreakBefore w:val="0"/>
        <w:widowControl w:val="0"/>
        <w:kinsoku/>
        <w:wordWrap/>
        <w:overflowPunct/>
        <w:topLinePunct w:val="0"/>
        <w:autoSpaceDE/>
        <w:autoSpaceDN/>
        <w:bidi w:val="0"/>
        <w:adjustRightInd/>
        <w:snapToGrid/>
        <w:spacing w:line="220" w:lineRule="exact"/>
        <w:textAlignment w:val="auto"/>
      </w:pPr>
      <w:r>
        <w:rPr>
          <w:rFonts w:hint="eastAsia" w:ascii="宋体" w:hAnsi="宋体" w:eastAsia="宋体" w:cs="宋体"/>
          <w:sz w:val="20"/>
          <w:szCs w:val="20"/>
        </w:rPr>
        <w:fldChar w:fldCharType="end"/>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pStyle w:val="10"/>
        <w:tabs>
          <w:tab w:val="right" w:leader="dot" w:pos="8306"/>
        </w:tabs>
        <w:jc w:val="center"/>
        <w:rPr>
          <w:rFonts w:hint="default" w:ascii="宋体" w:hAnsi="宋体" w:cs="宋体"/>
          <w:b/>
          <w:bCs/>
          <w:sz w:val="24"/>
          <w:szCs w:val="24"/>
          <w:lang w:val="en-US" w:eastAsia="zh-CN"/>
        </w:rPr>
      </w:pPr>
      <w:r>
        <w:rPr>
          <w:rFonts w:hint="eastAsia" w:ascii="宋体" w:hAnsi="宋体" w:cs="宋体"/>
          <w:b/>
          <w:bCs/>
          <w:sz w:val="24"/>
          <w:szCs w:val="24"/>
          <w:lang w:val="en-US" w:eastAsia="zh-CN"/>
        </w:rPr>
        <w:t>图目录</w:t>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
          <w:bCs/>
          <w:sz w:val="20"/>
          <w:szCs w:val="20"/>
          <w:lang w:val="en-US" w:eastAsia="zh-CN"/>
        </w:rPr>
        <w:fldChar w:fldCharType="begin"/>
      </w:r>
      <w:r>
        <w:rPr>
          <w:rFonts w:hint="eastAsia" w:ascii="宋体" w:hAnsi="宋体" w:eastAsia="宋体" w:cs="宋体"/>
          <w:b/>
          <w:bCs/>
          <w:sz w:val="20"/>
          <w:szCs w:val="20"/>
          <w:lang w:val="en-US" w:eastAsia="zh-CN"/>
        </w:rPr>
        <w:instrText xml:space="preserve">TOC \h \c "图"</w:instrText>
      </w:r>
      <w:r>
        <w:rPr>
          <w:rFonts w:hint="eastAsia" w:ascii="宋体" w:hAnsi="宋体" w:eastAsia="宋体" w:cs="宋体"/>
          <w:b/>
          <w:bCs/>
          <w:sz w:val="20"/>
          <w:szCs w:val="20"/>
          <w:lang w:val="en-US" w:eastAsia="zh-CN"/>
        </w:rPr>
        <w:fldChar w:fldCharType="separate"/>
      </w: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_Toc30302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 </w:t>
      </w:r>
      <w:r>
        <w:rPr>
          <w:rFonts w:hint="eastAsia" w:ascii="宋体" w:hAnsi="宋体" w:eastAsia="宋体" w:cs="宋体"/>
          <w:sz w:val="20"/>
          <w:szCs w:val="20"/>
          <w:lang w:eastAsia="zh-CN"/>
        </w:rPr>
        <w:t xml:space="preserve">  百校千企万岗“大学生就业帮扶行动”送岗直通车</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_Toc30302 \h </w:instrText>
      </w:r>
      <w:r>
        <w:rPr>
          <w:rFonts w:hint="eastAsia" w:ascii="宋体" w:hAnsi="宋体" w:eastAsia="宋体" w:cs="宋体"/>
          <w:sz w:val="20"/>
          <w:szCs w:val="20"/>
        </w:rPr>
        <w:fldChar w:fldCharType="separate"/>
      </w:r>
      <w:r>
        <w:rPr>
          <w:rFonts w:hint="eastAsia" w:ascii="宋体" w:hAnsi="宋体" w:eastAsia="宋体" w:cs="宋体"/>
          <w:sz w:val="20"/>
          <w:szCs w:val="20"/>
        </w:rPr>
        <w:t>- 10 -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_Toc7108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 </w:t>
      </w:r>
      <w:r>
        <w:rPr>
          <w:rFonts w:hint="eastAsia" w:ascii="宋体" w:hAnsi="宋体" w:eastAsia="宋体" w:cs="宋体"/>
          <w:sz w:val="20"/>
          <w:szCs w:val="20"/>
          <w:lang w:eastAsia="zh-CN"/>
        </w:rPr>
        <w:t xml:space="preserve">  太湖创意职业技术学院2023届毕业生就业招聘会</w:t>
      </w:r>
      <w:r>
        <w:rPr>
          <w:rFonts w:hint="eastAsia" w:ascii="宋体" w:hAnsi="宋体" w:eastAsia="宋体" w:cs="宋体"/>
          <w:sz w:val="20"/>
          <w:szCs w:val="20"/>
          <w:lang w:val="en-US" w:eastAsia="zh-CN"/>
        </w:rPr>
        <w:t>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_Toc7108 \h </w:instrText>
      </w:r>
      <w:r>
        <w:rPr>
          <w:rFonts w:hint="eastAsia" w:ascii="宋体" w:hAnsi="宋体" w:eastAsia="宋体" w:cs="宋体"/>
          <w:sz w:val="20"/>
          <w:szCs w:val="20"/>
        </w:rPr>
        <w:fldChar w:fldCharType="separate"/>
      </w:r>
      <w:r>
        <w:rPr>
          <w:rFonts w:hint="eastAsia" w:ascii="宋体" w:hAnsi="宋体" w:eastAsia="宋体" w:cs="宋体"/>
          <w:sz w:val="20"/>
          <w:szCs w:val="20"/>
        </w:rPr>
        <w:t>- 11 -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_Toc375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 </w:t>
      </w:r>
      <w:r>
        <w:rPr>
          <w:rFonts w:hint="eastAsia" w:ascii="宋体" w:hAnsi="宋体" w:eastAsia="宋体" w:cs="宋体"/>
          <w:sz w:val="20"/>
          <w:szCs w:val="20"/>
          <w:lang w:eastAsia="zh-CN"/>
        </w:rPr>
        <w:t xml:space="preserve">  太湖创意职业技术学院2023届毕业生就业招聘会</w:t>
      </w:r>
      <w:r>
        <w:rPr>
          <w:rFonts w:hint="eastAsia" w:ascii="宋体" w:hAnsi="宋体" w:eastAsia="宋体" w:cs="宋体"/>
          <w:sz w:val="20"/>
          <w:szCs w:val="20"/>
          <w:lang w:val="en-US" w:eastAsia="zh-CN"/>
        </w:rPr>
        <w:t>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_Toc375 \h </w:instrText>
      </w:r>
      <w:r>
        <w:rPr>
          <w:rFonts w:hint="eastAsia" w:ascii="宋体" w:hAnsi="宋体" w:eastAsia="宋体" w:cs="宋体"/>
          <w:sz w:val="20"/>
          <w:szCs w:val="20"/>
        </w:rPr>
        <w:fldChar w:fldCharType="separate"/>
      </w:r>
      <w:r>
        <w:rPr>
          <w:rFonts w:hint="eastAsia" w:ascii="宋体" w:hAnsi="宋体" w:eastAsia="宋体" w:cs="宋体"/>
          <w:sz w:val="20"/>
          <w:szCs w:val="20"/>
        </w:rPr>
        <w:t>- 12 -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_Toc11067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 </w:t>
      </w:r>
      <w:r>
        <w:rPr>
          <w:rFonts w:hint="eastAsia" w:ascii="宋体" w:hAnsi="宋体" w:eastAsia="宋体" w:cs="宋体"/>
          <w:sz w:val="20"/>
          <w:szCs w:val="20"/>
          <w:lang w:eastAsia="zh-CN"/>
        </w:rPr>
        <w:t xml:space="preserve">  太湖创意职业技术学院双元制校企合作联合人才培养项目实训场景</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_Toc11067 \h </w:instrText>
      </w:r>
      <w:r>
        <w:rPr>
          <w:rFonts w:hint="eastAsia" w:ascii="宋体" w:hAnsi="宋体" w:eastAsia="宋体" w:cs="宋体"/>
          <w:sz w:val="20"/>
          <w:szCs w:val="20"/>
        </w:rPr>
        <w:fldChar w:fldCharType="separate"/>
      </w:r>
      <w:r>
        <w:rPr>
          <w:rFonts w:hint="eastAsia" w:ascii="宋体" w:hAnsi="宋体" w:eastAsia="宋体" w:cs="宋体"/>
          <w:sz w:val="20"/>
          <w:szCs w:val="20"/>
        </w:rPr>
        <w:t>- 14 -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_Toc2498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5 </w:t>
      </w:r>
      <w:r>
        <w:rPr>
          <w:rFonts w:hint="eastAsia" w:ascii="宋体" w:hAnsi="宋体" w:eastAsia="宋体" w:cs="宋体"/>
          <w:sz w:val="20"/>
          <w:szCs w:val="20"/>
          <w:lang w:eastAsia="zh-CN"/>
        </w:rPr>
        <w:t xml:space="preserve">  太湖创意职业技术学院开展资助诚信教育主题活动</w:t>
      </w:r>
      <w:r>
        <w:rPr>
          <w:rFonts w:hint="eastAsia" w:ascii="宋体" w:hAnsi="宋体" w:eastAsia="宋体" w:cs="宋体"/>
          <w:sz w:val="20"/>
          <w:szCs w:val="20"/>
          <w:lang w:val="en-US" w:eastAsia="zh-CN"/>
        </w:rPr>
        <w:t>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_Toc2498 \h </w:instrText>
      </w:r>
      <w:r>
        <w:rPr>
          <w:rFonts w:hint="eastAsia" w:ascii="宋体" w:hAnsi="宋体" w:eastAsia="宋体" w:cs="宋体"/>
          <w:sz w:val="20"/>
          <w:szCs w:val="20"/>
        </w:rPr>
        <w:fldChar w:fldCharType="separate"/>
      </w:r>
      <w:r>
        <w:rPr>
          <w:rFonts w:hint="eastAsia" w:ascii="宋体" w:hAnsi="宋体" w:eastAsia="宋体" w:cs="宋体"/>
          <w:sz w:val="20"/>
          <w:szCs w:val="20"/>
        </w:rPr>
        <w:t>- 16 -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_Toc30919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6 </w:t>
      </w:r>
      <w:r>
        <w:rPr>
          <w:rFonts w:hint="eastAsia" w:ascii="宋体" w:hAnsi="宋体" w:eastAsia="宋体" w:cs="宋体"/>
          <w:sz w:val="20"/>
          <w:szCs w:val="20"/>
          <w:lang w:eastAsia="zh-CN"/>
        </w:rPr>
        <w:t xml:space="preserve">  太湖创意职业技术学院开展资助诚信教育主题活动</w:t>
      </w:r>
      <w:r>
        <w:rPr>
          <w:rFonts w:hint="eastAsia" w:ascii="宋体" w:hAnsi="宋体" w:eastAsia="宋体" w:cs="宋体"/>
          <w:sz w:val="20"/>
          <w:szCs w:val="20"/>
          <w:lang w:val="en-US" w:eastAsia="zh-CN"/>
        </w:rPr>
        <w:t>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_Toc30919 \h </w:instrText>
      </w:r>
      <w:r>
        <w:rPr>
          <w:rFonts w:hint="eastAsia" w:ascii="宋体" w:hAnsi="宋体" w:eastAsia="宋体" w:cs="宋体"/>
          <w:sz w:val="20"/>
          <w:szCs w:val="20"/>
        </w:rPr>
        <w:fldChar w:fldCharType="separate"/>
      </w:r>
      <w:r>
        <w:rPr>
          <w:rFonts w:hint="eastAsia" w:ascii="宋体" w:hAnsi="宋体" w:eastAsia="宋体" w:cs="宋体"/>
          <w:sz w:val="20"/>
          <w:szCs w:val="20"/>
        </w:rPr>
        <w:t>- 17 -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_Toc25327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7 </w:t>
      </w:r>
      <w:r>
        <w:rPr>
          <w:rFonts w:hint="eastAsia" w:ascii="宋体" w:hAnsi="宋体" w:eastAsia="宋体" w:cs="宋体"/>
          <w:sz w:val="20"/>
          <w:szCs w:val="20"/>
          <w:lang w:eastAsia="zh-CN"/>
        </w:rPr>
        <w:t xml:space="preserve">  太湖创意职业技术学院开展反诈主题班会</w:t>
      </w:r>
      <w:r>
        <w:rPr>
          <w:rFonts w:hint="eastAsia" w:ascii="宋体" w:hAnsi="宋体" w:eastAsia="宋体" w:cs="宋体"/>
          <w:sz w:val="20"/>
          <w:szCs w:val="20"/>
          <w:lang w:val="en-US" w:eastAsia="zh-CN"/>
        </w:rPr>
        <w:t>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_Toc25327 \h </w:instrText>
      </w:r>
      <w:r>
        <w:rPr>
          <w:rFonts w:hint="eastAsia" w:ascii="宋体" w:hAnsi="宋体" w:eastAsia="宋体" w:cs="宋体"/>
          <w:sz w:val="20"/>
          <w:szCs w:val="20"/>
        </w:rPr>
        <w:fldChar w:fldCharType="separate"/>
      </w:r>
      <w:r>
        <w:rPr>
          <w:rFonts w:hint="eastAsia" w:ascii="宋体" w:hAnsi="宋体" w:eastAsia="宋体" w:cs="宋体"/>
          <w:sz w:val="20"/>
          <w:szCs w:val="20"/>
        </w:rPr>
        <w:t>- 18 -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_Toc25020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8 </w:t>
      </w:r>
      <w:r>
        <w:rPr>
          <w:rFonts w:hint="eastAsia" w:ascii="宋体" w:hAnsi="宋体" w:eastAsia="宋体" w:cs="宋体"/>
          <w:sz w:val="20"/>
          <w:szCs w:val="20"/>
          <w:lang w:eastAsia="zh-CN"/>
        </w:rPr>
        <w:t xml:space="preserve">  太湖创意职业技术学院开展反诈主题班会</w:t>
      </w:r>
      <w:r>
        <w:rPr>
          <w:rFonts w:hint="eastAsia" w:ascii="宋体" w:hAnsi="宋体" w:eastAsia="宋体" w:cs="宋体"/>
          <w:sz w:val="20"/>
          <w:szCs w:val="20"/>
          <w:lang w:val="en-US" w:eastAsia="zh-CN"/>
        </w:rPr>
        <w:t>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_Toc25020 \h </w:instrText>
      </w:r>
      <w:r>
        <w:rPr>
          <w:rFonts w:hint="eastAsia" w:ascii="宋体" w:hAnsi="宋体" w:eastAsia="宋体" w:cs="宋体"/>
          <w:sz w:val="20"/>
          <w:szCs w:val="20"/>
        </w:rPr>
        <w:fldChar w:fldCharType="separate"/>
      </w:r>
      <w:r>
        <w:rPr>
          <w:rFonts w:hint="eastAsia" w:ascii="宋体" w:hAnsi="宋体" w:eastAsia="宋体" w:cs="宋体"/>
          <w:sz w:val="20"/>
          <w:szCs w:val="20"/>
        </w:rPr>
        <w:t>- 18 -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_Toc8732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9 </w:t>
      </w:r>
      <w:r>
        <w:rPr>
          <w:rFonts w:hint="eastAsia" w:ascii="宋体" w:hAnsi="宋体" w:eastAsia="宋体" w:cs="宋体"/>
          <w:sz w:val="20"/>
          <w:szCs w:val="20"/>
          <w:lang w:eastAsia="zh-CN"/>
        </w:rPr>
        <w:t xml:space="preserve">  太湖创意职业技术学院师生赴物博会实践研学</w:t>
      </w:r>
      <w:r>
        <w:rPr>
          <w:rFonts w:hint="eastAsia" w:ascii="宋体" w:hAnsi="宋体" w:eastAsia="宋体" w:cs="宋体"/>
          <w:sz w:val="20"/>
          <w:szCs w:val="20"/>
          <w:lang w:val="en-US" w:eastAsia="zh-CN"/>
        </w:rPr>
        <w:t>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_Toc8732 \h </w:instrText>
      </w:r>
      <w:r>
        <w:rPr>
          <w:rFonts w:hint="eastAsia" w:ascii="宋体" w:hAnsi="宋体" w:eastAsia="宋体" w:cs="宋体"/>
          <w:sz w:val="20"/>
          <w:szCs w:val="20"/>
        </w:rPr>
        <w:fldChar w:fldCharType="separate"/>
      </w:r>
      <w:r>
        <w:rPr>
          <w:rFonts w:hint="eastAsia" w:ascii="宋体" w:hAnsi="宋体" w:eastAsia="宋体" w:cs="宋体"/>
          <w:sz w:val="20"/>
          <w:szCs w:val="20"/>
        </w:rPr>
        <w:t>- 19 -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_Toc23120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10 </w:t>
      </w:r>
      <w:r>
        <w:rPr>
          <w:rFonts w:hint="eastAsia" w:ascii="宋体" w:hAnsi="宋体" w:eastAsia="宋体" w:cs="宋体"/>
          <w:sz w:val="20"/>
          <w:szCs w:val="20"/>
          <w:lang w:eastAsia="zh-CN"/>
        </w:rPr>
        <w:t xml:space="preserve">  太湖创意职业技术学院师生赴物博会实践研学</w:t>
      </w:r>
      <w:r>
        <w:rPr>
          <w:rFonts w:hint="eastAsia" w:ascii="宋体" w:hAnsi="宋体" w:eastAsia="宋体" w:cs="宋体"/>
          <w:sz w:val="20"/>
          <w:szCs w:val="20"/>
          <w:lang w:val="en-US" w:eastAsia="zh-CN"/>
        </w:rPr>
        <w:t>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_Toc23120 \h </w:instrText>
      </w:r>
      <w:r>
        <w:rPr>
          <w:rFonts w:hint="eastAsia" w:ascii="宋体" w:hAnsi="宋体" w:eastAsia="宋体" w:cs="宋体"/>
          <w:sz w:val="20"/>
          <w:szCs w:val="20"/>
        </w:rPr>
        <w:fldChar w:fldCharType="separate"/>
      </w:r>
      <w:r>
        <w:rPr>
          <w:rFonts w:hint="eastAsia" w:ascii="宋体" w:hAnsi="宋体" w:eastAsia="宋体" w:cs="宋体"/>
          <w:sz w:val="20"/>
          <w:szCs w:val="20"/>
        </w:rPr>
        <w:t>- 19 -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_Toc17482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11 </w:t>
      </w:r>
      <w:r>
        <w:rPr>
          <w:rFonts w:hint="eastAsia" w:ascii="宋体" w:hAnsi="宋体" w:eastAsia="宋体" w:cs="宋体"/>
          <w:sz w:val="20"/>
          <w:szCs w:val="20"/>
          <w:lang w:eastAsia="zh-CN"/>
        </w:rPr>
        <w:t xml:space="preserve">  太湖创意职业技术学院开展心理健康周活动</w:t>
      </w:r>
      <w:r>
        <w:rPr>
          <w:rFonts w:hint="eastAsia" w:ascii="宋体" w:hAnsi="宋体" w:eastAsia="宋体" w:cs="宋体"/>
          <w:sz w:val="20"/>
          <w:szCs w:val="20"/>
          <w:lang w:val="en-US" w:eastAsia="zh-CN"/>
        </w:rPr>
        <w:t>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_Toc17482 \h </w:instrText>
      </w:r>
      <w:r>
        <w:rPr>
          <w:rFonts w:hint="eastAsia" w:ascii="宋体" w:hAnsi="宋体" w:eastAsia="宋体" w:cs="宋体"/>
          <w:sz w:val="20"/>
          <w:szCs w:val="20"/>
        </w:rPr>
        <w:fldChar w:fldCharType="separate"/>
      </w:r>
      <w:r>
        <w:rPr>
          <w:rFonts w:hint="eastAsia" w:ascii="宋体" w:hAnsi="宋体" w:eastAsia="宋体" w:cs="宋体"/>
          <w:sz w:val="20"/>
          <w:szCs w:val="20"/>
        </w:rPr>
        <w:t>- 20 -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_Toc26541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12 </w:t>
      </w:r>
      <w:r>
        <w:rPr>
          <w:rFonts w:hint="eastAsia" w:ascii="宋体" w:hAnsi="宋体" w:eastAsia="宋体" w:cs="宋体"/>
          <w:sz w:val="20"/>
          <w:szCs w:val="20"/>
          <w:lang w:eastAsia="zh-CN"/>
        </w:rPr>
        <w:t xml:space="preserve">  太湖创意职业技术学院开展心理健康周活动</w:t>
      </w:r>
      <w:r>
        <w:rPr>
          <w:rFonts w:hint="eastAsia" w:ascii="宋体" w:hAnsi="宋体" w:eastAsia="宋体" w:cs="宋体"/>
          <w:sz w:val="20"/>
          <w:szCs w:val="20"/>
          <w:lang w:val="en-US" w:eastAsia="zh-CN"/>
        </w:rPr>
        <w:t>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_Toc26541 \h </w:instrText>
      </w:r>
      <w:r>
        <w:rPr>
          <w:rFonts w:hint="eastAsia" w:ascii="宋体" w:hAnsi="宋体" w:eastAsia="宋体" w:cs="宋体"/>
          <w:sz w:val="20"/>
          <w:szCs w:val="20"/>
        </w:rPr>
        <w:fldChar w:fldCharType="separate"/>
      </w:r>
      <w:r>
        <w:rPr>
          <w:rFonts w:hint="eastAsia" w:ascii="宋体" w:hAnsi="宋体" w:eastAsia="宋体" w:cs="宋体"/>
          <w:sz w:val="20"/>
          <w:szCs w:val="20"/>
        </w:rPr>
        <w:t>- 20 -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_Toc6418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13 </w:t>
      </w:r>
      <w:r>
        <w:rPr>
          <w:rFonts w:hint="eastAsia" w:ascii="宋体" w:hAnsi="宋体" w:eastAsia="宋体" w:cs="宋体"/>
          <w:sz w:val="20"/>
          <w:szCs w:val="20"/>
          <w:lang w:eastAsia="zh-CN"/>
        </w:rPr>
        <w:t xml:space="preserve">  太湖创意职业技术学院开展国家安全宣传教育活动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_Toc6418 \h </w:instrText>
      </w:r>
      <w:r>
        <w:rPr>
          <w:rFonts w:hint="eastAsia" w:ascii="宋体" w:hAnsi="宋体" w:eastAsia="宋体" w:cs="宋体"/>
          <w:sz w:val="20"/>
          <w:szCs w:val="20"/>
        </w:rPr>
        <w:fldChar w:fldCharType="separate"/>
      </w:r>
      <w:r>
        <w:rPr>
          <w:rFonts w:hint="eastAsia" w:ascii="宋体" w:hAnsi="宋体" w:eastAsia="宋体" w:cs="宋体"/>
          <w:sz w:val="20"/>
          <w:szCs w:val="20"/>
        </w:rPr>
        <w:t>- 21 -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_Toc69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14 </w:t>
      </w:r>
      <w:r>
        <w:rPr>
          <w:rFonts w:hint="eastAsia" w:ascii="宋体" w:hAnsi="宋体" w:eastAsia="宋体" w:cs="宋体"/>
          <w:sz w:val="20"/>
          <w:szCs w:val="20"/>
          <w:lang w:eastAsia="zh-CN"/>
        </w:rPr>
        <w:t xml:space="preserve">  太湖创意职业技术学院开展“五育并举”风采展示活动</w:t>
      </w:r>
      <w:r>
        <w:rPr>
          <w:rFonts w:hint="eastAsia" w:ascii="宋体" w:hAnsi="宋体" w:eastAsia="宋体" w:cs="宋体"/>
          <w:sz w:val="20"/>
          <w:szCs w:val="20"/>
          <w:lang w:val="en-US" w:eastAsia="zh-CN"/>
        </w:rPr>
        <w:t>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_Toc69 \h </w:instrText>
      </w:r>
      <w:r>
        <w:rPr>
          <w:rFonts w:hint="eastAsia" w:ascii="宋体" w:hAnsi="宋体" w:eastAsia="宋体" w:cs="宋体"/>
          <w:sz w:val="20"/>
          <w:szCs w:val="20"/>
        </w:rPr>
        <w:fldChar w:fldCharType="separate"/>
      </w:r>
      <w:r>
        <w:rPr>
          <w:rFonts w:hint="eastAsia" w:ascii="宋体" w:hAnsi="宋体" w:eastAsia="宋体" w:cs="宋体"/>
          <w:sz w:val="20"/>
          <w:szCs w:val="20"/>
        </w:rPr>
        <w:t>- 22 -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_Toc17812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15 </w:t>
      </w:r>
      <w:r>
        <w:rPr>
          <w:rFonts w:hint="eastAsia" w:ascii="宋体" w:hAnsi="宋体" w:eastAsia="宋体" w:cs="宋体"/>
          <w:sz w:val="20"/>
          <w:szCs w:val="20"/>
          <w:lang w:eastAsia="zh-CN"/>
        </w:rPr>
        <w:t xml:space="preserve">  太湖创意职业技术学院开展“五育并举”风采展示活动</w:t>
      </w:r>
      <w:r>
        <w:rPr>
          <w:rFonts w:hint="eastAsia" w:ascii="宋体" w:hAnsi="宋体" w:eastAsia="宋体" w:cs="宋体"/>
          <w:sz w:val="20"/>
          <w:szCs w:val="20"/>
          <w:lang w:val="en-US" w:eastAsia="zh-CN"/>
        </w:rPr>
        <w:t>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_Toc17812 \h </w:instrText>
      </w:r>
      <w:r>
        <w:rPr>
          <w:rFonts w:hint="eastAsia" w:ascii="宋体" w:hAnsi="宋体" w:eastAsia="宋体" w:cs="宋体"/>
          <w:sz w:val="20"/>
          <w:szCs w:val="20"/>
        </w:rPr>
        <w:fldChar w:fldCharType="separate"/>
      </w:r>
      <w:r>
        <w:rPr>
          <w:rFonts w:hint="eastAsia" w:ascii="宋体" w:hAnsi="宋体" w:eastAsia="宋体" w:cs="宋体"/>
          <w:sz w:val="20"/>
          <w:szCs w:val="20"/>
        </w:rPr>
        <w:t>- 22 -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_Toc18022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16 </w:t>
      </w:r>
      <w:r>
        <w:rPr>
          <w:rFonts w:hint="eastAsia" w:ascii="宋体" w:hAnsi="宋体" w:eastAsia="宋体" w:cs="宋体"/>
          <w:sz w:val="20"/>
          <w:szCs w:val="20"/>
          <w:lang w:eastAsia="zh-CN"/>
        </w:rPr>
        <w:t xml:space="preserve">  太湖创意职业技术学院组织国家安全普法讲座现场一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_Toc18022 \h </w:instrText>
      </w:r>
      <w:r>
        <w:rPr>
          <w:rFonts w:hint="eastAsia" w:ascii="宋体" w:hAnsi="宋体" w:eastAsia="宋体" w:cs="宋体"/>
          <w:sz w:val="20"/>
          <w:szCs w:val="20"/>
        </w:rPr>
        <w:fldChar w:fldCharType="separate"/>
      </w:r>
      <w:r>
        <w:rPr>
          <w:rFonts w:hint="eastAsia" w:ascii="宋体" w:hAnsi="宋体" w:eastAsia="宋体" w:cs="宋体"/>
          <w:sz w:val="20"/>
          <w:szCs w:val="20"/>
        </w:rPr>
        <w:t>- 23 -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_Toc29617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17 </w:t>
      </w:r>
      <w:r>
        <w:rPr>
          <w:rFonts w:hint="eastAsia" w:ascii="宋体" w:hAnsi="宋体" w:eastAsia="宋体" w:cs="宋体"/>
          <w:sz w:val="20"/>
          <w:szCs w:val="20"/>
          <w:lang w:eastAsia="zh-CN"/>
        </w:rPr>
        <w:t xml:space="preserve">  太湖创意职业技术学院组织国家安全普法讲座现场二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_Toc29617 \h </w:instrText>
      </w:r>
      <w:r>
        <w:rPr>
          <w:rFonts w:hint="eastAsia" w:ascii="宋体" w:hAnsi="宋体" w:eastAsia="宋体" w:cs="宋体"/>
          <w:sz w:val="20"/>
          <w:szCs w:val="20"/>
        </w:rPr>
        <w:fldChar w:fldCharType="separate"/>
      </w:r>
      <w:r>
        <w:rPr>
          <w:rFonts w:hint="eastAsia" w:ascii="宋体" w:hAnsi="宋体" w:eastAsia="宋体" w:cs="宋体"/>
          <w:sz w:val="20"/>
          <w:szCs w:val="20"/>
        </w:rPr>
        <w:t>- 23 -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_Toc20750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18 </w:t>
      </w:r>
      <w:r>
        <w:rPr>
          <w:rFonts w:hint="eastAsia" w:ascii="宋体" w:hAnsi="宋体" w:eastAsia="宋体" w:cs="宋体"/>
          <w:sz w:val="20"/>
          <w:szCs w:val="20"/>
          <w:lang w:eastAsia="zh-CN"/>
        </w:rPr>
        <w:t xml:space="preserve">  太湖创意职业技术学院参加第十二届全国校园财会大赛现场一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_Toc20750 \h </w:instrText>
      </w:r>
      <w:r>
        <w:rPr>
          <w:rFonts w:hint="eastAsia" w:ascii="宋体" w:hAnsi="宋体" w:eastAsia="宋体" w:cs="宋体"/>
          <w:sz w:val="20"/>
          <w:szCs w:val="20"/>
        </w:rPr>
        <w:fldChar w:fldCharType="separate"/>
      </w:r>
      <w:r>
        <w:rPr>
          <w:rFonts w:hint="eastAsia" w:ascii="宋体" w:hAnsi="宋体" w:eastAsia="宋体" w:cs="宋体"/>
          <w:sz w:val="20"/>
          <w:szCs w:val="20"/>
        </w:rPr>
        <w:t>- 25 -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_Toc378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19 </w:t>
      </w:r>
      <w:r>
        <w:rPr>
          <w:rFonts w:hint="eastAsia" w:ascii="宋体" w:hAnsi="宋体" w:eastAsia="宋体" w:cs="宋体"/>
          <w:sz w:val="20"/>
          <w:szCs w:val="20"/>
          <w:lang w:eastAsia="zh-CN"/>
        </w:rPr>
        <w:t xml:space="preserve">  太湖创意职业技术学院参加第十二届全国校园财会大赛现场二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_Toc378 \h </w:instrText>
      </w:r>
      <w:r>
        <w:rPr>
          <w:rFonts w:hint="eastAsia" w:ascii="宋体" w:hAnsi="宋体" w:eastAsia="宋体" w:cs="宋体"/>
          <w:sz w:val="20"/>
          <w:szCs w:val="20"/>
        </w:rPr>
        <w:fldChar w:fldCharType="separate"/>
      </w:r>
      <w:r>
        <w:rPr>
          <w:rFonts w:hint="eastAsia" w:ascii="宋体" w:hAnsi="宋体" w:eastAsia="宋体" w:cs="宋体"/>
          <w:sz w:val="20"/>
          <w:szCs w:val="20"/>
        </w:rPr>
        <w:t>- 26 -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_Toc30464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20 </w:t>
      </w:r>
      <w:r>
        <w:rPr>
          <w:rFonts w:hint="eastAsia" w:ascii="宋体" w:hAnsi="宋体" w:eastAsia="宋体" w:cs="宋体"/>
          <w:sz w:val="20"/>
          <w:szCs w:val="20"/>
          <w:lang w:eastAsia="zh-CN"/>
        </w:rPr>
        <w:t xml:space="preserve">  太湖创意职业技术学院参加第六届“国青杯”全国高校艺术设计作品大赛获奖名单</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_Toc30464 \h </w:instrText>
      </w:r>
      <w:r>
        <w:rPr>
          <w:rFonts w:hint="eastAsia" w:ascii="宋体" w:hAnsi="宋体" w:eastAsia="宋体" w:cs="宋体"/>
          <w:sz w:val="20"/>
          <w:szCs w:val="20"/>
        </w:rPr>
        <w:fldChar w:fldCharType="separate"/>
      </w:r>
      <w:r>
        <w:rPr>
          <w:rFonts w:hint="eastAsia" w:ascii="宋体" w:hAnsi="宋体" w:eastAsia="宋体" w:cs="宋体"/>
          <w:sz w:val="20"/>
          <w:szCs w:val="20"/>
        </w:rPr>
        <w:t>- 27 -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_Toc17639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21 </w:t>
      </w:r>
      <w:r>
        <w:rPr>
          <w:rFonts w:hint="eastAsia" w:ascii="宋体" w:hAnsi="宋体" w:eastAsia="宋体" w:cs="宋体"/>
          <w:sz w:val="20"/>
          <w:szCs w:val="20"/>
          <w:lang w:eastAsia="zh-CN"/>
        </w:rPr>
        <w:t xml:space="preserve">  太湖创意职业技术学院开展暑期社会实践“云支教”活动宣传图</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_Toc17639 \h </w:instrText>
      </w:r>
      <w:r>
        <w:rPr>
          <w:rFonts w:hint="eastAsia" w:ascii="宋体" w:hAnsi="宋体" w:eastAsia="宋体" w:cs="宋体"/>
          <w:sz w:val="20"/>
          <w:szCs w:val="20"/>
        </w:rPr>
        <w:fldChar w:fldCharType="separate"/>
      </w:r>
      <w:r>
        <w:rPr>
          <w:rFonts w:hint="eastAsia" w:ascii="宋体" w:hAnsi="宋体" w:eastAsia="宋体" w:cs="宋体"/>
          <w:sz w:val="20"/>
          <w:szCs w:val="20"/>
        </w:rPr>
        <w:t>- 28 -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_Toc20503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22 </w:t>
      </w:r>
      <w:r>
        <w:rPr>
          <w:rFonts w:hint="eastAsia" w:ascii="宋体" w:hAnsi="宋体" w:eastAsia="宋体" w:cs="宋体"/>
          <w:sz w:val="20"/>
          <w:szCs w:val="20"/>
          <w:lang w:eastAsia="zh-CN"/>
        </w:rPr>
        <w:t xml:space="preserve">  太湖创意职业技术学院开展消防演练现场二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_Toc20503 \h </w:instrText>
      </w:r>
      <w:r>
        <w:rPr>
          <w:rFonts w:hint="eastAsia" w:ascii="宋体" w:hAnsi="宋体" w:eastAsia="宋体" w:cs="宋体"/>
          <w:sz w:val="20"/>
          <w:szCs w:val="20"/>
        </w:rPr>
        <w:fldChar w:fldCharType="separate"/>
      </w:r>
      <w:r>
        <w:rPr>
          <w:rFonts w:hint="eastAsia" w:ascii="宋体" w:hAnsi="宋体" w:eastAsia="宋体" w:cs="宋体"/>
          <w:sz w:val="20"/>
          <w:szCs w:val="20"/>
        </w:rPr>
        <w:t>- 29 -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_Toc14285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23 </w:t>
      </w:r>
      <w:r>
        <w:rPr>
          <w:rFonts w:hint="eastAsia" w:ascii="宋体" w:hAnsi="宋体" w:eastAsia="宋体" w:cs="宋体"/>
          <w:sz w:val="20"/>
          <w:szCs w:val="20"/>
          <w:lang w:eastAsia="zh-CN"/>
        </w:rPr>
        <w:t xml:space="preserve">  太湖创意职业技术学院开展消防演练现场一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_Toc14285 \h </w:instrText>
      </w:r>
      <w:r>
        <w:rPr>
          <w:rFonts w:hint="eastAsia" w:ascii="宋体" w:hAnsi="宋体" w:eastAsia="宋体" w:cs="宋体"/>
          <w:sz w:val="20"/>
          <w:szCs w:val="20"/>
        </w:rPr>
        <w:fldChar w:fldCharType="separate"/>
      </w:r>
      <w:r>
        <w:rPr>
          <w:rFonts w:hint="eastAsia" w:ascii="宋体" w:hAnsi="宋体" w:eastAsia="宋体" w:cs="宋体"/>
          <w:sz w:val="20"/>
          <w:szCs w:val="20"/>
        </w:rPr>
        <w:t>- 29 -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_Toc24795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24 </w:t>
      </w:r>
      <w:r>
        <w:rPr>
          <w:rFonts w:hint="eastAsia" w:ascii="宋体" w:hAnsi="宋体" w:eastAsia="宋体" w:cs="宋体"/>
          <w:sz w:val="20"/>
          <w:szCs w:val="20"/>
          <w:lang w:eastAsia="zh-CN"/>
        </w:rPr>
        <w:t xml:space="preserve">  太湖创意职业技术学院艺术学院组织“趣味运动会”现场一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_Toc24795 \h </w:instrText>
      </w:r>
      <w:r>
        <w:rPr>
          <w:rFonts w:hint="eastAsia" w:ascii="宋体" w:hAnsi="宋体" w:eastAsia="宋体" w:cs="宋体"/>
          <w:sz w:val="20"/>
          <w:szCs w:val="20"/>
        </w:rPr>
        <w:fldChar w:fldCharType="separate"/>
      </w:r>
      <w:r>
        <w:rPr>
          <w:rFonts w:hint="eastAsia" w:ascii="宋体" w:hAnsi="宋体" w:eastAsia="宋体" w:cs="宋体"/>
          <w:sz w:val="20"/>
          <w:szCs w:val="20"/>
        </w:rPr>
        <w:t>- 30 -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_Toc8202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25 </w:t>
      </w:r>
      <w:r>
        <w:rPr>
          <w:rFonts w:hint="eastAsia" w:ascii="宋体" w:hAnsi="宋体" w:eastAsia="宋体" w:cs="宋体"/>
          <w:sz w:val="20"/>
          <w:szCs w:val="20"/>
          <w:lang w:eastAsia="zh-CN"/>
        </w:rPr>
        <w:t xml:space="preserve">  太湖创意职业技术学院艺术学院组织“趣味运动会”现场二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_Toc8202 \h </w:instrText>
      </w:r>
      <w:r>
        <w:rPr>
          <w:rFonts w:hint="eastAsia" w:ascii="宋体" w:hAnsi="宋体" w:eastAsia="宋体" w:cs="宋体"/>
          <w:sz w:val="20"/>
          <w:szCs w:val="20"/>
        </w:rPr>
        <w:fldChar w:fldCharType="separate"/>
      </w:r>
      <w:r>
        <w:rPr>
          <w:rFonts w:hint="eastAsia" w:ascii="宋体" w:hAnsi="宋体" w:eastAsia="宋体" w:cs="宋体"/>
          <w:sz w:val="20"/>
          <w:szCs w:val="20"/>
        </w:rPr>
        <w:t>- 30 -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_Toc9298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26 </w:t>
      </w:r>
      <w:r>
        <w:rPr>
          <w:rFonts w:hint="eastAsia" w:ascii="宋体" w:hAnsi="宋体" w:eastAsia="宋体" w:cs="宋体"/>
          <w:sz w:val="20"/>
          <w:szCs w:val="20"/>
          <w:lang w:eastAsia="zh-CN"/>
        </w:rPr>
        <w:t xml:space="preserve">  近三年毕业生用人单位类型分布</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_Toc9298 \h </w:instrText>
      </w:r>
      <w:r>
        <w:rPr>
          <w:rFonts w:hint="eastAsia" w:ascii="宋体" w:hAnsi="宋体" w:eastAsia="宋体" w:cs="宋体"/>
          <w:sz w:val="20"/>
          <w:szCs w:val="20"/>
        </w:rPr>
        <w:fldChar w:fldCharType="separate"/>
      </w:r>
      <w:r>
        <w:rPr>
          <w:rFonts w:hint="eastAsia" w:ascii="宋体" w:hAnsi="宋体" w:eastAsia="宋体" w:cs="宋体"/>
          <w:sz w:val="20"/>
          <w:szCs w:val="20"/>
        </w:rPr>
        <w:t>- 34 -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_Toc2050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27 </w:t>
      </w:r>
      <w:r>
        <w:rPr>
          <w:rFonts w:hint="eastAsia" w:ascii="宋体" w:hAnsi="宋体" w:eastAsia="宋体" w:cs="宋体"/>
          <w:sz w:val="20"/>
          <w:szCs w:val="20"/>
          <w:lang w:eastAsia="zh-CN"/>
        </w:rPr>
        <w:t xml:space="preserve">  近三年各专业大类月收入</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_Toc2050 \h </w:instrText>
      </w:r>
      <w:r>
        <w:rPr>
          <w:rFonts w:hint="eastAsia" w:ascii="宋体" w:hAnsi="宋体" w:eastAsia="宋体" w:cs="宋体"/>
          <w:sz w:val="20"/>
          <w:szCs w:val="20"/>
        </w:rPr>
        <w:fldChar w:fldCharType="separate"/>
      </w:r>
      <w:r>
        <w:rPr>
          <w:rFonts w:hint="eastAsia" w:ascii="宋体" w:hAnsi="宋体" w:eastAsia="宋体" w:cs="宋体"/>
          <w:sz w:val="20"/>
          <w:szCs w:val="20"/>
        </w:rPr>
        <w:t>- 34 -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_Toc26649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28 </w:t>
      </w:r>
      <w:r>
        <w:rPr>
          <w:rFonts w:hint="eastAsia" w:ascii="宋体" w:hAnsi="宋体" w:eastAsia="宋体" w:cs="宋体"/>
          <w:sz w:val="20"/>
          <w:szCs w:val="20"/>
          <w:lang w:eastAsia="zh-CN"/>
        </w:rPr>
        <w:t xml:space="preserve">  太湖创意职业技术学院组织工科专业学生参加无锡太湖机床展现场</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_Toc26649 \h </w:instrText>
      </w:r>
      <w:r>
        <w:rPr>
          <w:rFonts w:hint="eastAsia" w:ascii="宋体" w:hAnsi="宋体" w:eastAsia="宋体" w:cs="宋体"/>
          <w:sz w:val="20"/>
          <w:szCs w:val="20"/>
        </w:rPr>
        <w:fldChar w:fldCharType="separate"/>
      </w:r>
      <w:r>
        <w:rPr>
          <w:rFonts w:hint="eastAsia" w:ascii="宋体" w:hAnsi="宋体" w:eastAsia="宋体" w:cs="宋体"/>
          <w:sz w:val="20"/>
          <w:szCs w:val="20"/>
        </w:rPr>
        <w:t>- 36 -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_Toc6992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29 </w:t>
      </w:r>
      <w:r>
        <w:rPr>
          <w:rFonts w:hint="eastAsia" w:ascii="宋体" w:hAnsi="宋体" w:eastAsia="宋体" w:cs="宋体"/>
          <w:sz w:val="20"/>
          <w:szCs w:val="20"/>
          <w:lang w:eastAsia="zh-CN"/>
        </w:rPr>
        <w:t xml:space="preserve">  太湖创意职业技术学院开展辅导员工作坊现场</w:t>
      </w:r>
      <w:r>
        <w:rPr>
          <w:rFonts w:hint="eastAsia" w:ascii="宋体" w:hAnsi="宋体" w:eastAsia="宋体" w:cs="宋体"/>
          <w:sz w:val="20"/>
          <w:szCs w:val="20"/>
          <w:lang w:val="en-US" w:eastAsia="zh-CN"/>
        </w:rPr>
        <w:t>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_Toc6992 \h </w:instrText>
      </w:r>
      <w:r>
        <w:rPr>
          <w:rFonts w:hint="eastAsia" w:ascii="宋体" w:hAnsi="宋体" w:eastAsia="宋体" w:cs="宋体"/>
          <w:sz w:val="20"/>
          <w:szCs w:val="20"/>
        </w:rPr>
        <w:fldChar w:fldCharType="separate"/>
      </w:r>
      <w:r>
        <w:rPr>
          <w:rFonts w:hint="eastAsia" w:ascii="宋体" w:hAnsi="宋体" w:eastAsia="宋体" w:cs="宋体"/>
          <w:sz w:val="20"/>
          <w:szCs w:val="20"/>
        </w:rPr>
        <w:t>- 37 -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_Toc11954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30 </w:t>
      </w:r>
      <w:r>
        <w:rPr>
          <w:rFonts w:hint="eastAsia" w:ascii="宋体" w:hAnsi="宋体" w:eastAsia="宋体" w:cs="宋体"/>
          <w:sz w:val="20"/>
          <w:szCs w:val="20"/>
          <w:lang w:eastAsia="zh-CN"/>
        </w:rPr>
        <w:t xml:space="preserve">  太湖创意职业技术学院开展辅导员工作坊现场</w:t>
      </w:r>
      <w:r>
        <w:rPr>
          <w:rFonts w:hint="eastAsia" w:ascii="宋体" w:hAnsi="宋体" w:eastAsia="宋体" w:cs="宋体"/>
          <w:sz w:val="20"/>
          <w:szCs w:val="20"/>
          <w:lang w:val="en-US" w:eastAsia="zh-CN"/>
        </w:rPr>
        <w:t>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_Toc11954 \h </w:instrText>
      </w:r>
      <w:r>
        <w:rPr>
          <w:rFonts w:hint="eastAsia" w:ascii="宋体" w:hAnsi="宋体" w:eastAsia="宋体" w:cs="宋体"/>
          <w:sz w:val="20"/>
          <w:szCs w:val="20"/>
        </w:rPr>
        <w:fldChar w:fldCharType="separate"/>
      </w:r>
      <w:r>
        <w:rPr>
          <w:rFonts w:hint="eastAsia" w:ascii="宋体" w:hAnsi="宋体" w:eastAsia="宋体" w:cs="宋体"/>
          <w:sz w:val="20"/>
          <w:szCs w:val="20"/>
        </w:rPr>
        <w:t>- 37 -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_Toc15285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31 </w:t>
      </w:r>
      <w:r>
        <w:rPr>
          <w:rFonts w:hint="eastAsia" w:ascii="宋体" w:hAnsi="宋体" w:eastAsia="宋体" w:cs="宋体"/>
          <w:sz w:val="20"/>
          <w:szCs w:val="20"/>
          <w:lang w:eastAsia="zh-CN"/>
        </w:rPr>
        <w:t xml:space="preserve">  太湖创意职业技术学院志愿者服务环蠡湖半程马拉松现场</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_Toc15285 \h </w:instrText>
      </w:r>
      <w:r>
        <w:rPr>
          <w:rFonts w:hint="eastAsia" w:ascii="宋体" w:hAnsi="宋体" w:eastAsia="宋体" w:cs="宋体"/>
          <w:sz w:val="20"/>
          <w:szCs w:val="20"/>
        </w:rPr>
        <w:fldChar w:fldCharType="separate"/>
      </w:r>
      <w:r>
        <w:rPr>
          <w:rFonts w:hint="eastAsia" w:ascii="宋体" w:hAnsi="宋体" w:eastAsia="宋体" w:cs="宋体"/>
          <w:sz w:val="20"/>
          <w:szCs w:val="20"/>
        </w:rPr>
        <w:t>- 43 -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_Toc3104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32 </w:t>
      </w:r>
      <w:r>
        <w:rPr>
          <w:rFonts w:hint="eastAsia" w:ascii="宋体" w:hAnsi="宋体" w:eastAsia="宋体" w:cs="宋体"/>
          <w:sz w:val="20"/>
          <w:szCs w:val="20"/>
          <w:lang w:eastAsia="zh-CN"/>
        </w:rPr>
        <w:t xml:space="preserve">  太湖创意职业技术学院志愿者服务环蠡湖半程马拉松赛前培训场景</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_Toc3104 \h </w:instrText>
      </w:r>
      <w:r>
        <w:rPr>
          <w:rFonts w:hint="eastAsia" w:ascii="宋体" w:hAnsi="宋体" w:eastAsia="宋体" w:cs="宋体"/>
          <w:sz w:val="20"/>
          <w:szCs w:val="20"/>
        </w:rPr>
        <w:fldChar w:fldCharType="separate"/>
      </w:r>
      <w:r>
        <w:rPr>
          <w:rFonts w:hint="eastAsia" w:ascii="宋体" w:hAnsi="宋体" w:eastAsia="宋体" w:cs="宋体"/>
          <w:sz w:val="20"/>
          <w:szCs w:val="20"/>
        </w:rPr>
        <w:t>- 43 -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_Toc25172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33 </w:t>
      </w:r>
      <w:r>
        <w:rPr>
          <w:rFonts w:hint="eastAsia" w:ascii="宋体" w:hAnsi="宋体" w:eastAsia="宋体" w:cs="宋体"/>
          <w:sz w:val="20"/>
          <w:szCs w:val="20"/>
          <w:lang w:eastAsia="zh-CN"/>
        </w:rPr>
        <w:t xml:space="preserve">  太湖创意职业技术学院组织机电专业学生参观无锡太湖机床展现场一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_Toc25172 \h </w:instrText>
      </w:r>
      <w:r>
        <w:rPr>
          <w:rFonts w:hint="eastAsia" w:ascii="宋体" w:hAnsi="宋体" w:eastAsia="宋体" w:cs="宋体"/>
          <w:sz w:val="20"/>
          <w:szCs w:val="20"/>
        </w:rPr>
        <w:fldChar w:fldCharType="separate"/>
      </w:r>
      <w:r>
        <w:rPr>
          <w:rFonts w:hint="eastAsia" w:ascii="宋体" w:hAnsi="宋体" w:eastAsia="宋体" w:cs="宋体"/>
          <w:sz w:val="20"/>
          <w:szCs w:val="20"/>
        </w:rPr>
        <w:t>- 44 -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_Toc12465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34 </w:t>
      </w:r>
      <w:r>
        <w:rPr>
          <w:rFonts w:hint="eastAsia" w:ascii="宋体" w:hAnsi="宋体" w:eastAsia="宋体" w:cs="宋体"/>
          <w:sz w:val="20"/>
          <w:szCs w:val="20"/>
          <w:lang w:eastAsia="zh-CN"/>
        </w:rPr>
        <w:t xml:space="preserve">  太湖创意职业技术学院组织机电专业学生参观无锡太湖机床展现场二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_Toc12465 \h </w:instrText>
      </w:r>
      <w:r>
        <w:rPr>
          <w:rFonts w:hint="eastAsia" w:ascii="宋体" w:hAnsi="宋体" w:eastAsia="宋体" w:cs="宋体"/>
          <w:sz w:val="20"/>
          <w:szCs w:val="20"/>
        </w:rPr>
        <w:fldChar w:fldCharType="separate"/>
      </w:r>
      <w:r>
        <w:rPr>
          <w:rFonts w:hint="eastAsia" w:ascii="宋体" w:hAnsi="宋体" w:eastAsia="宋体" w:cs="宋体"/>
          <w:sz w:val="20"/>
          <w:szCs w:val="20"/>
        </w:rPr>
        <w:t>- 44 -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_Toc8482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35 </w:t>
      </w:r>
      <w:r>
        <w:rPr>
          <w:rFonts w:hint="eastAsia" w:ascii="宋体" w:hAnsi="宋体" w:eastAsia="宋体" w:cs="宋体"/>
          <w:sz w:val="20"/>
          <w:szCs w:val="20"/>
          <w:lang w:eastAsia="zh-CN"/>
        </w:rPr>
        <w:t xml:space="preserve">  太湖创意职业技术学院暑期社会实践-参过淮海战役纪念馆现场一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_Toc8482 \h </w:instrText>
      </w:r>
      <w:r>
        <w:rPr>
          <w:rFonts w:hint="eastAsia" w:ascii="宋体" w:hAnsi="宋体" w:eastAsia="宋体" w:cs="宋体"/>
          <w:sz w:val="20"/>
          <w:szCs w:val="20"/>
        </w:rPr>
        <w:fldChar w:fldCharType="separate"/>
      </w:r>
      <w:r>
        <w:rPr>
          <w:rFonts w:hint="eastAsia" w:ascii="宋体" w:hAnsi="宋体" w:eastAsia="宋体" w:cs="宋体"/>
          <w:sz w:val="20"/>
          <w:szCs w:val="20"/>
        </w:rPr>
        <w:t>- 46 -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_Toc5660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36 </w:t>
      </w:r>
      <w:r>
        <w:rPr>
          <w:rFonts w:hint="eastAsia" w:ascii="宋体" w:hAnsi="宋体" w:eastAsia="宋体" w:cs="宋体"/>
          <w:sz w:val="20"/>
          <w:szCs w:val="20"/>
          <w:lang w:eastAsia="zh-CN"/>
        </w:rPr>
        <w:t xml:space="preserve">  太湖创意职业技术学院暑期社会实践-参过淮海战役纪念馆现场二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_Toc5660 \h </w:instrText>
      </w:r>
      <w:r>
        <w:rPr>
          <w:rFonts w:hint="eastAsia" w:ascii="宋体" w:hAnsi="宋体" w:eastAsia="宋体" w:cs="宋体"/>
          <w:sz w:val="20"/>
          <w:szCs w:val="20"/>
        </w:rPr>
        <w:fldChar w:fldCharType="separate"/>
      </w:r>
      <w:r>
        <w:rPr>
          <w:rFonts w:hint="eastAsia" w:ascii="宋体" w:hAnsi="宋体" w:eastAsia="宋体" w:cs="宋体"/>
          <w:sz w:val="20"/>
          <w:szCs w:val="20"/>
        </w:rPr>
        <w:t>- 47 -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_Toc22680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37 </w:t>
      </w:r>
      <w:r>
        <w:rPr>
          <w:rFonts w:hint="eastAsia" w:ascii="宋体" w:hAnsi="宋体" w:eastAsia="宋体" w:cs="宋体"/>
          <w:sz w:val="20"/>
          <w:szCs w:val="20"/>
          <w:lang w:eastAsia="zh-CN"/>
        </w:rPr>
        <w:t xml:space="preserve">  太湖创意职业技术学院青年学习社开展主题学习感悟活动现场</w:t>
      </w:r>
      <w:r>
        <w:rPr>
          <w:rFonts w:hint="eastAsia" w:ascii="宋体" w:hAnsi="宋体" w:eastAsia="宋体" w:cs="宋体"/>
          <w:sz w:val="20"/>
          <w:szCs w:val="20"/>
          <w:lang w:val="en-US" w:eastAsia="zh-CN"/>
        </w:rPr>
        <w:t>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_Toc22680 \h </w:instrText>
      </w:r>
      <w:r>
        <w:rPr>
          <w:rFonts w:hint="eastAsia" w:ascii="宋体" w:hAnsi="宋体" w:eastAsia="宋体" w:cs="宋体"/>
          <w:sz w:val="20"/>
          <w:szCs w:val="20"/>
        </w:rPr>
        <w:fldChar w:fldCharType="separate"/>
      </w:r>
      <w:r>
        <w:rPr>
          <w:rFonts w:hint="eastAsia" w:ascii="宋体" w:hAnsi="宋体" w:eastAsia="宋体" w:cs="宋体"/>
          <w:sz w:val="20"/>
          <w:szCs w:val="20"/>
        </w:rPr>
        <w:t>- 48 -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_Toc715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38 </w:t>
      </w:r>
      <w:r>
        <w:rPr>
          <w:rFonts w:hint="eastAsia" w:ascii="宋体" w:hAnsi="宋体" w:eastAsia="宋体" w:cs="宋体"/>
          <w:sz w:val="20"/>
          <w:szCs w:val="20"/>
          <w:lang w:eastAsia="zh-CN"/>
        </w:rPr>
        <w:t xml:space="preserve">  太湖创意职业技术学院青年学习社开展主题学习感悟活动现场</w:t>
      </w:r>
      <w:r>
        <w:rPr>
          <w:rFonts w:hint="eastAsia" w:ascii="宋体" w:hAnsi="宋体" w:eastAsia="宋体" w:cs="宋体"/>
          <w:sz w:val="20"/>
          <w:szCs w:val="20"/>
          <w:lang w:val="en-US" w:eastAsia="zh-CN"/>
        </w:rPr>
        <w:t>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_Toc715 \h </w:instrText>
      </w:r>
      <w:r>
        <w:rPr>
          <w:rFonts w:hint="eastAsia" w:ascii="宋体" w:hAnsi="宋体" w:eastAsia="宋体" w:cs="宋体"/>
          <w:sz w:val="20"/>
          <w:szCs w:val="20"/>
        </w:rPr>
        <w:fldChar w:fldCharType="separate"/>
      </w:r>
      <w:r>
        <w:rPr>
          <w:rFonts w:hint="eastAsia" w:ascii="宋体" w:hAnsi="宋体" w:eastAsia="宋体" w:cs="宋体"/>
          <w:sz w:val="20"/>
          <w:szCs w:val="20"/>
        </w:rPr>
        <w:t>- 49 -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_Toc30123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39 </w:t>
      </w:r>
      <w:r>
        <w:rPr>
          <w:rFonts w:hint="eastAsia" w:ascii="宋体" w:hAnsi="宋体" w:eastAsia="宋体" w:cs="宋体"/>
          <w:sz w:val="20"/>
          <w:szCs w:val="20"/>
          <w:lang w:eastAsia="zh-CN"/>
        </w:rPr>
        <w:t xml:space="preserve">  太湖创意职业技术学院开展创意设计展优秀作品1</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_Toc30123 \h </w:instrText>
      </w:r>
      <w:r>
        <w:rPr>
          <w:rFonts w:hint="eastAsia" w:ascii="宋体" w:hAnsi="宋体" w:eastAsia="宋体" w:cs="宋体"/>
          <w:sz w:val="20"/>
          <w:szCs w:val="20"/>
        </w:rPr>
        <w:fldChar w:fldCharType="separate"/>
      </w:r>
      <w:r>
        <w:rPr>
          <w:rFonts w:hint="eastAsia" w:ascii="宋体" w:hAnsi="宋体" w:eastAsia="宋体" w:cs="宋体"/>
          <w:sz w:val="20"/>
          <w:szCs w:val="20"/>
        </w:rPr>
        <w:t>- 52 -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_Toc22394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40 </w:t>
      </w:r>
      <w:r>
        <w:rPr>
          <w:rFonts w:hint="eastAsia" w:ascii="宋体" w:hAnsi="宋体" w:eastAsia="宋体" w:cs="宋体"/>
          <w:sz w:val="20"/>
          <w:szCs w:val="20"/>
          <w:lang w:eastAsia="zh-CN"/>
        </w:rPr>
        <w:t xml:space="preserve">  太湖创意职业技术学院开展创意设计展优秀作品2</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_Toc22394 \h </w:instrText>
      </w:r>
      <w:r>
        <w:rPr>
          <w:rFonts w:hint="eastAsia" w:ascii="宋体" w:hAnsi="宋体" w:eastAsia="宋体" w:cs="宋体"/>
          <w:sz w:val="20"/>
          <w:szCs w:val="20"/>
        </w:rPr>
        <w:fldChar w:fldCharType="separate"/>
      </w:r>
      <w:r>
        <w:rPr>
          <w:rFonts w:hint="eastAsia" w:ascii="宋体" w:hAnsi="宋体" w:eastAsia="宋体" w:cs="宋体"/>
          <w:sz w:val="20"/>
          <w:szCs w:val="20"/>
        </w:rPr>
        <w:t>- 53 -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_Toc19453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41 </w:t>
      </w:r>
      <w:r>
        <w:rPr>
          <w:rFonts w:hint="eastAsia" w:ascii="宋体" w:hAnsi="宋体" w:eastAsia="宋体" w:cs="宋体"/>
          <w:sz w:val="20"/>
          <w:szCs w:val="20"/>
          <w:lang w:eastAsia="zh-CN"/>
        </w:rPr>
        <w:t xml:space="preserve">  太湖创意职业技术学院双元制校企合作联合人才培养项目实训场景</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_Toc19453 \h </w:instrText>
      </w:r>
      <w:r>
        <w:rPr>
          <w:rFonts w:hint="eastAsia" w:ascii="宋体" w:hAnsi="宋体" w:eastAsia="宋体" w:cs="宋体"/>
          <w:sz w:val="20"/>
          <w:szCs w:val="20"/>
        </w:rPr>
        <w:fldChar w:fldCharType="separate"/>
      </w:r>
      <w:r>
        <w:rPr>
          <w:rFonts w:hint="eastAsia" w:ascii="宋体" w:hAnsi="宋体" w:eastAsia="宋体" w:cs="宋体"/>
          <w:sz w:val="20"/>
          <w:szCs w:val="20"/>
        </w:rPr>
        <w:t>- 63 -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_Toc23297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42 </w:t>
      </w:r>
      <w:r>
        <w:rPr>
          <w:rFonts w:hint="eastAsia" w:ascii="宋体" w:hAnsi="宋体" w:eastAsia="宋体" w:cs="宋体"/>
          <w:sz w:val="20"/>
          <w:szCs w:val="20"/>
          <w:lang w:eastAsia="zh-CN"/>
        </w:rPr>
        <w:t xml:space="preserve">  太湖创意职业技术学院与新瑞医院教学医院揭牌现场</w:t>
      </w:r>
      <w:r>
        <w:rPr>
          <w:rFonts w:hint="eastAsia" w:ascii="宋体" w:hAnsi="宋体" w:eastAsia="宋体" w:cs="宋体"/>
          <w:sz w:val="20"/>
          <w:szCs w:val="20"/>
          <w:lang w:val="en-US" w:eastAsia="zh-CN"/>
        </w:rPr>
        <w:t>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_Toc23297 \h </w:instrText>
      </w:r>
      <w:r>
        <w:rPr>
          <w:rFonts w:hint="eastAsia" w:ascii="宋体" w:hAnsi="宋体" w:eastAsia="宋体" w:cs="宋体"/>
          <w:sz w:val="20"/>
          <w:szCs w:val="20"/>
        </w:rPr>
        <w:fldChar w:fldCharType="separate"/>
      </w:r>
      <w:r>
        <w:rPr>
          <w:rFonts w:hint="eastAsia" w:ascii="宋体" w:hAnsi="宋体" w:eastAsia="宋体" w:cs="宋体"/>
          <w:sz w:val="20"/>
          <w:szCs w:val="20"/>
        </w:rPr>
        <w:t>- 64 -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_Toc24661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43 </w:t>
      </w:r>
      <w:r>
        <w:rPr>
          <w:rFonts w:hint="eastAsia" w:ascii="宋体" w:hAnsi="宋体" w:eastAsia="宋体" w:cs="宋体"/>
          <w:sz w:val="20"/>
          <w:szCs w:val="20"/>
          <w:lang w:eastAsia="zh-CN"/>
        </w:rPr>
        <w:t xml:space="preserve">  太湖创意职业技术学院与新瑞医院教学医院揭牌现场</w:t>
      </w:r>
      <w:r>
        <w:rPr>
          <w:rFonts w:hint="eastAsia" w:ascii="宋体" w:hAnsi="宋体" w:eastAsia="宋体" w:cs="宋体"/>
          <w:sz w:val="20"/>
          <w:szCs w:val="20"/>
          <w:lang w:val="en-US" w:eastAsia="zh-CN"/>
        </w:rPr>
        <w:t>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_Toc24661 \h </w:instrText>
      </w:r>
      <w:r>
        <w:rPr>
          <w:rFonts w:hint="eastAsia" w:ascii="宋体" w:hAnsi="宋体" w:eastAsia="宋体" w:cs="宋体"/>
          <w:sz w:val="20"/>
          <w:szCs w:val="20"/>
        </w:rPr>
        <w:fldChar w:fldCharType="separate"/>
      </w:r>
      <w:r>
        <w:rPr>
          <w:rFonts w:hint="eastAsia" w:ascii="宋体" w:hAnsi="宋体" w:eastAsia="宋体" w:cs="宋体"/>
          <w:sz w:val="20"/>
          <w:szCs w:val="20"/>
        </w:rPr>
        <w:t>- 64 -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_Toc30830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44 </w:t>
      </w:r>
      <w:r>
        <w:rPr>
          <w:rFonts w:hint="eastAsia" w:ascii="宋体" w:hAnsi="宋体" w:eastAsia="宋体" w:cs="宋体"/>
          <w:sz w:val="20"/>
          <w:szCs w:val="20"/>
          <w:lang w:eastAsia="zh-CN"/>
        </w:rPr>
        <w:t xml:space="preserve">  太湖创意职业技术学院邀请宣讲团为学校师生作党的二十大精神宣讲现场一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_Toc30830 \h </w:instrText>
      </w:r>
      <w:r>
        <w:rPr>
          <w:rFonts w:hint="eastAsia" w:ascii="宋体" w:hAnsi="宋体" w:eastAsia="宋体" w:cs="宋体"/>
          <w:sz w:val="20"/>
          <w:szCs w:val="20"/>
        </w:rPr>
        <w:fldChar w:fldCharType="separate"/>
      </w:r>
      <w:r>
        <w:rPr>
          <w:rFonts w:hint="eastAsia" w:ascii="宋体" w:hAnsi="宋体" w:eastAsia="宋体" w:cs="宋体"/>
          <w:sz w:val="20"/>
          <w:szCs w:val="20"/>
        </w:rPr>
        <w:t>- 67 -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_Toc14157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45 </w:t>
      </w:r>
      <w:r>
        <w:rPr>
          <w:rFonts w:hint="eastAsia" w:ascii="宋体" w:hAnsi="宋体" w:eastAsia="宋体" w:cs="宋体"/>
          <w:sz w:val="20"/>
          <w:szCs w:val="20"/>
          <w:lang w:eastAsia="zh-CN"/>
        </w:rPr>
        <w:t xml:space="preserve">  太湖创意职业技术学院邀请宣讲团为学校师生作党的二十大精神宣讲现场二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_Toc14157 \h </w:instrText>
      </w:r>
      <w:r>
        <w:rPr>
          <w:rFonts w:hint="eastAsia" w:ascii="宋体" w:hAnsi="宋体" w:eastAsia="宋体" w:cs="宋体"/>
          <w:sz w:val="20"/>
          <w:szCs w:val="20"/>
        </w:rPr>
        <w:fldChar w:fldCharType="separate"/>
      </w:r>
      <w:r>
        <w:rPr>
          <w:rFonts w:hint="eastAsia" w:ascii="宋体" w:hAnsi="宋体" w:eastAsia="宋体" w:cs="宋体"/>
          <w:sz w:val="20"/>
          <w:szCs w:val="20"/>
        </w:rPr>
        <w:t>- 68 -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_Toc9047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46 </w:t>
      </w:r>
      <w:r>
        <w:rPr>
          <w:rFonts w:hint="eastAsia" w:ascii="宋体" w:hAnsi="宋体" w:eastAsia="宋体" w:cs="宋体"/>
          <w:sz w:val="20"/>
          <w:szCs w:val="20"/>
          <w:lang w:eastAsia="zh-CN"/>
        </w:rPr>
        <w:t xml:space="preserve">  太湖创意职业技术学院赴无锡智慧体育产业园调研交流现场</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_Toc9047 \h </w:instrText>
      </w:r>
      <w:r>
        <w:rPr>
          <w:rFonts w:hint="eastAsia" w:ascii="宋体" w:hAnsi="宋体" w:eastAsia="宋体" w:cs="宋体"/>
          <w:sz w:val="20"/>
          <w:szCs w:val="20"/>
        </w:rPr>
        <w:fldChar w:fldCharType="separate"/>
      </w:r>
      <w:r>
        <w:rPr>
          <w:rFonts w:hint="eastAsia" w:ascii="宋体" w:hAnsi="宋体" w:eastAsia="宋体" w:cs="宋体"/>
          <w:sz w:val="20"/>
          <w:szCs w:val="20"/>
        </w:rPr>
        <w:t>- 71 -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_Toc31818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47 </w:t>
      </w:r>
      <w:r>
        <w:rPr>
          <w:rFonts w:hint="eastAsia" w:ascii="宋体" w:hAnsi="宋体" w:eastAsia="宋体" w:cs="宋体"/>
          <w:sz w:val="20"/>
          <w:szCs w:val="20"/>
          <w:lang w:eastAsia="zh-CN"/>
        </w:rPr>
        <w:t xml:space="preserve">  太湖创意职业技术学院第五次学生代表大会召开现场一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_Toc31818 \h </w:instrText>
      </w:r>
      <w:r>
        <w:rPr>
          <w:rFonts w:hint="eastAsia" w:ascii="宋体" w:hAnsi="宋体" w:eastAsia="宋体" w:cs="宋体"/>
          <w:sz w:val="20"/>
          <w:szCs w:val="20"/>
        </w:rPr>
        <w:fldChar w:fldCharType="separate"/>
      </w:r>
      <w:r>
        <w:rPr>
          <w:rFonts w:hint="eastAsia" w:ascii="宋体" w:hAnsi="宋体" w:eastAsia="宋体" w:cs="宋体"/>
          <w:sz w:val="20"/>
          <w:szCs w:val="20"/>
        </w:rPr>
        <w:t>- 76 -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_Toc22127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48 </w:t>
      </w:r>
      <w:r>
        <w:rPr>
          <w:rFonts w:hint="eastAsia" w:ascii="宋体" w:hAnsi="宋体" w:eastAsia="宋体" w:cs="宋体"/>
          <w:sz w:val="20"/>
          <w:szCs w:val="20"/>
          <w:lang w:eastAsia="zh-CN"/>
        </w:rPr>
        <w:t xml:space="preserve">  太湖创意职业技术学院第五次学生代表大会召开现场二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_Toc22127 \h </w:instrText>
      </w:r>
      <w:r>
        <w:rPr>
          <w:rFonts w:hint="eastAsia" w:ascii="宋体" w:hAnsi="宋体" w:eastAsia="宋体" w:cs="宋体"/>
          <w:sz w:val="20"/>
          <w:szCs w:val="20"/>
        </w:rPr>
        <w:fldChar w:fldCharType="separate"/>
      </w:r>
      <w:r>
        <w:rPr>
          <w:rFonts w:hint="eastAsia" w:ascii="宋体" w:hAnsi="宋体" w:eastAsia="宋体" w:cs="宋体"/>
          <w:sz w:val="20"/>
          <w:szCs w:val="20"/>
        </w:rPr>
        <w:t>- 76 -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_Toc5297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 xml:space="preserve">图 49 </w:t>
      </w:r>
      <w:r>
        <w:rPr>
          <w:rFonts w:hint="eastAsia" w:ascii="宋体" w:hAnsi="宋体" w:eastAsia="宋体" w:cs="宋体"/>
          <w:sz w:val="20"/>
          <w:szCs w:val="20"/>
          <w:lang w:eastAsia="zh-CN"/>
        </w:rPr>
        <w:t xml:space="preserve">  无锡太湖学院会计学院专家来太湖创意职业技术学院进行专项督导现场</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_Toc5297 \h </w:instrText>
      </w:r>
      <w:r>
        <w:rPr>
          <w:rFonts w:hint="eastAsia" w:ascii="宋体" w:hAnsi="宋体" w:eastAsia="宋体" w:cs="宋体"/>
          <w:sz w:val="20"/>
          <w:szCs w:val="20"/>
        </w:rPr>
        <w:fldChar w:fldCharType="separate"/>
      </w:r>
      <w:r>
        <w:rPr>
          <w:rFonts w:hint="eastAsia" w:ascii="宋体" w:hAnsi="宋体" w:eastAsia="宋体" w:cs="宋体"/>
          <w:sz w:val="20"/>
          <w:szCs w:val="20"/>
        </w:rPr>
        <w:t>- 77 -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before="0" w:after="0" w:line="220" w:lineRule="exact"/>
        <w:ind w:firstLine="400" w:firstLineChars="200"/>
        <w:textAlignment w:val="auto"/>
        <w:outlineLvl w:val="0"/>
        <w:rPr>
          <w:rFonts w:hint="eastAsia" w:ascii="宋体" w:hAnsi="宋体" w:cs="宋体"/>
          <w:b/>
          <w:bCs/>
          <w:sz w:val="28"/>
          <w:szCs w:val="28"/>
          <w:lang w:val="en-US" w:eastAsia="zh-CN"/>
        </w:rPr>
      </w:pPr>
      <w:r>
        <w:rPr>
          <w:rFonts w:hint="eastAsia" w:ascii="宋体" w:hAnsi="宋体" w:eastAsia="宋体" w:cs="宋体"/>
          <w:bCs/>
          <w:sz w:val="20"/>
          <w:szCs w:val="20"/>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pStyle w:val="10"/>
        <w:tabs>
          <w:tab w:val="right" w:leader="dot" w:pos="8306"/>
        </w:tabs>
        <w:ind w:left="0" w:leftChars="0" w:firstLine="0" w:firstLineChars="0"/>
        <w:jc w:val="center"/>
      </w:pPr>
      <w:r>
        <w:rPr>
          <w:rFonts w:hint="eastAsia" w:ascii="宋体" w:hAnsi="宋体" w:cs="宋体"/>
          <w:b/>
          <w:bCs/>
          <w:sz w:val="24"/>
          <w:szCs w:val="24"/>
          <w:lang w:val="en-US" w:eastAsia="zh-CN"/>
        </w:rPr>
        <w:t>案例目录</w:t>
      </w:r>
      <w:r>
        <w:rPr>
          <w:rFonts w:hint="eastAsia" w:ascii="宋体" w:hAnsi="宋体" w:cs="宋体"/>
          <w:b/>
          <w:bCs/>
          <w:sz w:val="28"/>
          <w:szCs w:val="28"/>
          <w:lang w:val="en-US" w:eastAsia="zh-CN"/>
        </w:rPr>
        <w:fldChar w:fldCharType="begin"/>
      </w:r>
      <w:r>
        <w:rPr>
          <w:rFonts w:hint="eastAsia" w:ascii="宋体" w:hAnsi="宋体" w:cs="宋体"/>
          <w:b/>
          <w:bCs/>
          <w:sz w:val="28"/>
          <w:szCs w:val="28"/>
          <w:lang w:val="en-US" w:eastAsia="zh-CN"/>
        </w:rPr>
        <w:instrText xml:space="preserve">TOC \t "题注" \h \c "案例 1-"</w:instrText>
      </w:r>
      <w:r>
        <w:rPr>
          <w:rFonts w:hint="eastAsia" w:ascii="宋体" w:hAnsi="宋体" w:cs="宋体"/>
          <w:b/>
          <w:bCs/>
          <w:sz w:val="28"/>
          <w:szCs w:val="28"/>
          <w:lang w:val="en-US" w:eastAsia="zh-CN"/>
        </w:rPr>
        <w:fldChar w:fldCharType="separate"/>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_Toc13522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1- 1</w:t>
      </w:r>
      <w:r>
        <w:rPr>
          <w:rFonts w:hint="eastAsia" w:ascii="宋体" w:hAnsi="宋体" w:eastAsia="宋体" w:cs="宋体"/>
          <w:sz w:val="20"/>
          <w:szCs w:val="20"/>
          <w:lang w:eastAsia="zh-CN"/>
        </w:rPr>
        <w:t xml:space="preserve">  【太湖创意职业技术学院百校千企万岗“大学生就业帮扶行动”送岗直通车】</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_Toc13522 \h </w:instrText>
      </w:r>
      <w:r>
        <w:rPr>
          <w:rFonts w:hint="eastAsia" w:ascii="宋体" w:hAnsi="宋体" w:eastAsia="宋体" w:cs="宋体"/>
          <w:sz w:val="20"/>
          <w:szCs w:val="20"/>
        </w:rPr>
        <w:fldChar w:fldCharType="separate"/>
      </w:r>
      <w:r>
        <w:rPr>
          <w:rFonts w:hint="eastAsia" w:ascii="宋体" w:hAnsi="宋体" w:eastAsia="宋体" w:cs="宋体"/>
          <w:sz w:val="20"/>
          <w:szCs w:val="20"/>
        </w:rPr>
        <w:t>- 10 -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_Toc5177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1- 2</w:t>
      </w:r>
      <w:r>
        <w:rPr>
          <w:rFonts w:hint="eastAsia" w:ascii="宋体" w:hAnsi="宋体" w:eastAsia="宋体" w:cs="宋体"/>
          <w:sz w:val="20"/>
          <w:szCs w:val="20"/>
          <w:lang w:eastAsia="zh-CN"/>
        </w:rPr>
        <w:t xml:space="preserve">  【太湖创意职业技术学院2023届毕业生就业招聘会】</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_Toc5177 \h </w:instrText>
      </w:r>
      <w:r>
        <w:rPr>
          <w:rFonts w:hint="eastAsia" w:ascii="宋体" w:hAnsi="宋体" w:eastAsia="宋体" w:cs="宋体"/>
          <w:sz w:val="20"/>
          <w:szCs w:val="20"/>
        </w:rPr>
        <w:fldChar w:fldCharType="separate"/>
      </w:r>
      <w:r>
        <w:rPr>
          <w:rFonts w:hint="eastAsia" w:ascii="宋体" w:hAnsi="宋体" w:eastAsia="宋体" w:cs="宋体"/>
          <w:sz w:val="20"/>
          <w:szCs w:val="20"/>
        </w:rPr>
        <w:t>- 11 -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_Toc15361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1- 3</w:t>
      </w:r>
      <w:r>
        <w:rPr>
          <w:rFonts w:hint="eastAsia" w:ascii="宋体" w:hAnsi="宋体" w:eastAsia="宋体" w:cs="宋体"/>
          <w:sz w:val="20"/>
          <w:szCs w:val="20"/>
          <w:lang w:eastAsia="zh-CN"/>
        </w:rPr>
        <w:t xml:space="preserve">  【太湖创意职业技术学院双元制校企合作联合人才培养项目】</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_Toc15361 \h </w:instrText>
      </w:r>
      <w:r>
        <w:rPr>
          <w:rFonts w:hint="eastAsia" w:ascii="宋体" w:hAnsi="宋体" w:eastAsia="宋体" w:cs="宋体"/>
          <w:sz w:val="20"/>
          <w:szCs w:val="20"/>
        </w:rPr>
        <w:fldChar w:fldCharType="separate"/>
      </w:r>
      <w:r>
        <w:rPr>
          <w:rFonts w:hint="eastAsia" w:ascii="宋体" w:hAnsi="宋体" w:eastAsia="宋体" w:cs="宋体"/>
          <w:sz w:val="20"/>
          <w:szCs w:val="20"/>
        </w:rPr>
        <w:t>- 14 -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_Toc20902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2- 1</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太湖创意职业技术学院开展</w:t>
      </w:r>
      <w:r>
        <w:rPr>
          <w:rFonts w:hint="eastAsia" w:ascii="宋体" w:hAnsi="宋体" w:eastAsia="宋体" w:cs="宋体"/>
          <w:sz w:val="20"/>
          <w:szCs w:val="20"/>
          <w:lang w:eastAsia="zh-CN"/>
        </w:rPr>
        <w:t>资助诚信教育主题活动】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_Toc20902 \h </w:instrText>
      </w:r>
      <w:r>
        <w:rPr>
          <w:rFonts w:hint="eastAsia" w:ascii="宋体" w:hAnsi="宋体" w:eastAsia="宋体" w:cs="宋体"/>
          <w:sz w:val="20"/>
          <w:szCs w:val="20"/>
        </w:rPr>
        <w:fldChar w:fldCharType="separate"/>
      </w:r>
      <w:r>
        <w:rPr>
          <w:rFonts w:hint="eastAsia" w:ascii="宋体" w:hAnsi="宋体" w:eastAsia="宋体" w:cs="宋体"/>
          <w:sz w:val="20"/>
          <w:szCs w:val="20"/>
        </w:rPr>
        <w:t>- 16 -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_Toc24280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2- 2</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开展反诈主题班会】</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_Toc24280 \h </w:instrText>
      </w:r>
      <w:r>
        <w:rPr>
          <w:rFonts w:hint="eastAsia" w:ascii="宋体" w:hAnsi="宋体" w:eastAsia="宋体" w:cs="宋体"/>
          <w:sz w:val="20"/>
          <w:szCs w:val="20"/>
        </w:rPr>
        <w:fldChar w:fldCharType="separate"/>
      </w:r>
      <w:r>
        <w:rPr>
          <w:rFonts w:hint="eastAsia" w:ascii="宋体" w:hAnsi="宋体" w:eastAsia="宋体" w:cs="宋体"/>
          <w:sz w:val="20"/>
          <w:szCs w:val="20"/>
        </w:rPr>
        <w:t>- 18 -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_Toc24562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2- 3</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师生赴物博会实践研学】</w:t>
      </w:r>
      <w:r>
        <w:rPr>
          <w:rFonts w:hint="eastAsia" w:ascii="宋体" w:hAnsi="宋体" w:eastAsia="宋体" w:cs="宋体"/>
          <w:bCs/>
          <w:kern w:val="2"/>
          <w:sz w:val="20"/>
          <w:szCs w:val="20"/>
          <w:lang w:val="en-US" w:eastAsia="zh-CN" w:bidi="ar-SA"/>
        </w:rPr>
        <w:t> </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_Toc24562 \h </w:instrText>
      </w:r>
      <w:r>
        <w:rPr>
          <w:rFonts w:hint="eastAsia" w:ascii="宋体" w:hAnsi="宋体" w:eastAsia="宋体" w:cs="宋体"/>
          <w:sz w:val="20"/>
          <w:szCs w:val="20"/>
        </w:rPr>
        <w:fldChar w:fldCharType="separate"/>
      </w:r>
      <w:r>
        <w:rPr>
          <w:rFonts w:hint="eastAsia" w:ascii="宋体" w:hAnsi="宋体" w:eastAsia="宋体" w:cs="宋体"/>
          <w:sz w:val="20"/>
          <w:szCs w:val="20"/>
        </w:rPr>
        <w:t>- 19 -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_Toc26870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2- 4</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开展心理健康周活动】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_Toc26870 \h </w:instrText>
      </w:r>
      <w:r>
        <w:rPr>
          <w:rFonts w:hint="eastAsia" w:ascii="宋体" w:hAnsi="宋体" w:eastAsia="宋体" w:cs="宋体"/>
          <w:sz w:val="20"/>
          <w:szCs w:val="20"/>
        </w:rPr>
        <w:fldChar w:fldCharType="separate"/>
      </w:r>
      <w:r>
        <w:rPr>
          <w:rFonts w:hint="eastAsia" w:ascii="宋体" w:hAnsi="宋体" w:eastAsia="宋体" w:cs="宋体"/>
          <w:sz w:val="20"/>
          <w:szCs w:val="20"/>
        </w:rPr>
        <w:t>- 20 -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_Toc1268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2- 5</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开展国家安全宣传教育活动】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_Toc1268 \h </w:instrText>
      </w:r>
      <w:r>
        <w:rPr>
          <w:rFonts w:hint="eastAsia" w:ascii="宋体" w:hAnsi="宋体" w:eastAsia="宋体" w:cs="宋体"/>
          <w:sz w:val="20"/>
          <w:szCs w:val="20"/>
        </w:rPr>
        <w:fldChar w:fldCharType="separate"/>
      </w:r>
      <w:r>
        <w:rPr>
          <w:rFonts w:hint="eastAsia" w:ascii="宋体" w:hAnsi="宋体" w:eastAsia="宋体" w:cs="宋体"/>
          <w:sz w:val="20"/>
          <w:szCs w:val="20"/>
        </w:rPr>
        <w:t>- 21 -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_Toc1049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2- 6</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开展“五育并举”风采展示活动】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_Toc1049 \h </w:instrText>
      </w:r>
      <w:r>
        <w:rPr>
          <w:rFonts w:hint="eastAsia" w:ascii="宋体" w:hAnsi="宋体" w:eastAsia="宋体" w:cs="宋体"/>
          <w:sz w:val="20"/>
          <w:szCs w:val="20"/>
        </w:rPr>
        <w:fldChar w:fldCharType="separate"/>
      </w:r>
      <w:r>
        <w:rPr>
          <w:rFonts w:hint="eastAsia" w:ascii="宋体" w:hAnsi="宋体" w:eastAsia="宋体" w:cs="宋体"/>
          <w:sz w:val="20"/>
          <w:szCs w:val="20"/>
        </w:rPr>
        <w:t>- 22 -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_Toc17467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2- 7</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组织国家安全普法讲座】</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_Toc17467 \h </w:instrText>
      </w:r>
      <w:r>
        <w:rPr>
          <w:rFonts w:hint="eastAsia" w:ascii="宋体" w:hAnsi="宋体" w:eastAsia="宋体" w:cs="宋体"/>
          <w:sz w:val="20"/>
          <w:szCs w:val="20"/>
        </w:rPr>
        <w:fldChar w:fldCharType="separate"/>
      </w:r>
      <w:r>
        <w:rPr>
          <w:rFonts w:hint="eastAsia" w:ascii="宋体" w:hAnsi="宋体" w:eastAsia="宋体" w:cs="宋体"/>
          <w:sz w:val="20"/>
          <w:szCs w:val="20"/>
        </w:rPr>
        <w:t>- 23 -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_Toc3946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2- 8</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太湖创意职业技术学院组织参加</w:t>
      </w:r>
      <w:r>
        <w:rPr>
          <w:rFonts w:hint="eastAsia" w:ascii="宋体" w:hAnsi="宋体" w:eastAsia="宋体" w:cs="宋体"/>
          <w:sz w:val="20"/>
          <w:szCs w:val="20"/>
          <w:lang w:eastAsia="zh-CN"/>
        </w:rPr>
        <w:t>第十二届全国校园财会大赛】</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_Toc3946 \h </w:instrText>
      </w:r>
      <w:r>
        <w:rPr>
          <w:rFonts w:hint="eastAsia" w:ascii="宋体" w:hAnsi="宋体" w:eastAsia="宋体" w:cs="宋体"/>
          <w:sz w:val="20"/>
          <w:szCs w:val="20"/>
        </w:rPr>
        <w:fldChar w:fldCharType="separate"/>
      </w:r>
      <w:r>
        <w:rPr>
          <w:rFonts w:hint="eastAsia" w:ascii="宋体" w:hAnsi="宋体" w:eastAsia="宋体" w:cs="宋体"/>
          <w:sz w:val="20"/>
          <w:szCs w:val="20"/>
        </w:rPr>
        <w:t>- 25 -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_Toc24529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2- 9</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太湖创意职业技术学院参加</w:t>
      </w:r>
      <w:r>
        <w:rPr>
          <w:rFonts w:hint="eastAsia" w:ascii="宋体" w:hAnsi="宋体" w:eastAsia="宋体" w:cs="宋体"/>
          <w:sz w:val="20"/>
          <w:szCs w:val="20"/>
          <w:lang w:eastAsia="zh-CN"/>
        </w:rPr>
        <w:t>第六届“国青杯”全国高校艺术设计作品大赛】</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_Toc24529 \h </w:instrText>
      </w:r>
      <w:r>
        <w:rPr>
          <w:rFonts w:hint="eastAsia" w:ascii="宋体" w:hAnsi="宋体" w:eastAsia="宋体" w:cs="宋体"/>
          <w:sz w:val="20"/>
          <w:szCs w:val="20"/>
        </w:rPr>
        <w:fldChar w:fldCharType="separate"/>
      </w:r>
      <w:r>
        <w:rPr>
          <w:rFonts w:hint="eastAsia" w:ascii="宋体" w:hAnsi="宋体" w:eastAsia="宋体" w:cs="宋体"/>
          <w:sz w:val="20"/>
          <w:szCs w:val="20"/>
        </w:rPr>
        <w:t>- 27 -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_Toc9722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2- 10</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开展暑期社会实践“云支教”活动】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_Toc9722 \h </w:instrText>
      </w:r>
      <w:r>
        <w:rPr>
          <w:rFonts w:hint="eastAsia" w:ascii="宋体" w:hAnsi="宋体" w:eastAsia="宋体" w:cs="宋体"/>
          <w:sz w:val="20"/>
          <w:szCs w:val="20"/>
        </w:rPr>
        <w:fldChar w:fldCharType="separate"/>
      </w:r>
      <w:r>
        <w:rPr>
          <w:rFonts w:hint="eastAsia" w:ascii="宋体" w:hAnsi="宋体" w:eastAsia="宋体" w:cs="宋体"/>
          <w:sz w:val="20"/>
          <w:szCs w:val="20"/>
        </w:rPr>
        <w:t>- 28 -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_Toc8853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2- 11</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开展消防演练】</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_Toc8853 \h </w:instrText>
      </w:r>
      <w:r>
        <w:rPr>
          <w:rFonts w:hint="eastAsia" w:ascii="宋体" w:hAnsi="宋体" w:eastAsia="宋体" w:cs="宋体"/>
          <w:sz w:val="20"/>
          <w:szCs w:val="20"/>
        </w:rPr>
        <w:fldChar w:fldCharType="separate"/>
      </w:r>
      <w:r>
        <w:rPr>
          <w:rFonts w:hint="eastAsia" w:ascii="宋体" w:hAnsi="宋体" w:eastAsia="宋体" w:cs="宋体"/>
          <w:sz w:val="20"/>
          <w:szCs w:val="20"/>
        </w:rPr>
        <w:t>- 29 -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_Toc27291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2- 12</w:t>
      </w:r>
      <w:r>
        <w:rPr>
          <w:rFonts w:hint="eastAsia" w:ascii="宋体" w:hAnsi="宋体" w:eastAsia="宋体" w:cs="宋体"/>
          <w:sz w:val="20"/>
          <w:szCs w:val="20"/>
          <w:lang w:eastAsia="zh-CN"/>
        </w:rPr>
        <w:t xml:space="preserve">  【太湖创意职业技术学院艺术学院组织“趣味运动会”】</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_Toc27291 \h </w:instrText>
      </w:r>
      <w:r>
        <w:rPr>
          <w:rFonts w:hint="eastAsia" w:ascii="宋体" w:hAnsi="宋体" w:eastAsia="宋体" w:cs="宋体"/>
          <w:sz w:val="20"/>
          <w:szCs w:val="20"/>
        </w:rPr>
        <w:fldChar w:fldCharType="separate"/>
      </w:r>
      <w:r>
        <w:rPr>
          <w:rFonts w:hint="eastAsia" w:ascii="宋体" w:hAnsi="宋体" w:eastAsia="宋体" w:cs="宋体"/>
          <w:sz w:val="20"/>
          <w:szCs w:val="20"/>
        </w:rPr>
        <w:t>- 30 -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_Toc2705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3- 1</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组织工科专业学生参加无锡太湖机床展】</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_Toc2705 \h </w:instrText>
      </w:r>
      <w:r>
        <w:rPr>
          <w:rFonts w:hint="eastAsia" w:ascii="宋体" w:hAnsi="宋体" w:eastAsia="宋体" w:cs="宋体"/>
          <w:sz w:val="20"/>
          <w:szCs w:val="20"/>
        </w:rPr>
        <w:fldChar w:fldCharType="separate"/>
      </w:r>
      <w:r>
        <w:rPr>
          <w:rFonts w:hint="eastAsia" w:ascii="宋体" w:hAnsi="宋体" w:eastAsia="宋体" w:cs="宋体"/>
          <w:sz w:val="20"/>
          <w:szCs w:val="20"/>
        </w:rPr>
        <w:t>- 36 -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_Toc8498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3- 2</w:t>
      </w:r>
      <w:r>
        <w:rPr>
          <w:rFonts w:hint="eastAsia" w:ascii="宋体" w:hAnsi="宋体" w:eastAsia="宋体" w:cs="宋体"/>
          <w:sz w:val="20"/>
          <w:szCs w:val="20"/>
          <w:lang w:eastAsia="zh-CN"/>
        </w:rPr>
        <w:t xml:space="preserve">  【太湖创意职业技术学院开展辅导员工作坊】</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_Toc8498 \h </w:instrText>
      </w:r>
      <w:r>
        <w:rPr>
          <w:rFonts w:hint="eastAsia" w:ascii="宋体" w:hAnsi="宋体" w:eastAsia="宋体" w:cs="宋体"/>
          <w:sz w:val="20"/>
          <w:szCs w:val="20"/>
        </w:rPr>
        <w:fldChar w:fldCharType="separate"/>
      </w:r>
      <w:r>
        <w:rPr>
          <w:rFonts w:hint="eastAsia" w:ascii="宋体" w:hAnsi="宋体" w:eastAsia="宋体" w:cs="宋体"/>
          <w:sz w:val="20"/>
          <w:szCs w:val="20"/>
        </w:rPr>
        <w:t>- 37 -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_Toc15266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4- 1</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志愿者服务环蠡湖半程马拉松】</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_Toc15266 \h </w:instrText>
      </w:r>
      <w:r>
        <w:rPr>
          <w:rFonts w:hint="eastAsia" w:ascii="宋体" w:hAnsi="宋体" w:eastAsia="宋体" w:cs="宋体"/>
          <w:sz w:val="20"/>
          <w:szCs w:val="20"/>
        </w:rPr>
        <w:fldChar w:fldCharType="separate"/>
      </w:r>
      <w:r>
        <w:rPr>
          <w:rFonts w:hint="eastAsia" w:ascii="宋体" w:hAnsi="宋体" w:eastAsia="宋体" w:cs="宋体"/>
          <w:sz w:val="20"/>
          <w:szCs w:val="20"/>
        </w:rPr>
        <w:t>- 43 -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_Toc4073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4- 2</w:t>
      </w:r>
      <w:r>
        <w:rPr>
          <w:rFonts w:hint="eastAsia" w:ascii="宋体" w:hAnsi="宋体" w:eastAsia="宋体" w:cs="宋体"/>
          <w:sz w:val="20"/>
          <w:szCs w:val="20"/>
          <w:lang w:eastAsia="zh-CN"/>
        </w:rPr>
        <w:t xml:space="preserve">  【太湖创意职业技术学院组织机电专业学生参观无锡太湖机床展】</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_Toc4073 \h </w:instrText>
      </w:r>
      <w:r>
        <w:rPr>
          <w:rFonts w:hint="eastAsia" w:ascii="宋体" w:hAnsi="宋体" w:eastAsia="宋体" w:cs="宋体"/>
          <w:sz w:val="20"/>
          <w:szCs w:val="20"/>
        </w:rPr>
        <w:fldChar w:fldCharType="separate"/>
      </w:r>
      <w:r>
        <w:rPr>
          <w:rFonts w:hint="eastAsia" w:ascii="宋体" w:hAnsi="宋体" w:eastAsia="宋体" w:cs="宋体"/>
          <w:sz w:val="20"/>
          <w:szCs w:val="20"/>
        </w:rPr>
        <w:t>- 44 -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_Toc17002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4- 3</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暑期社会实践-参过淮海战役纪念馆】</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_Toc17002 \h </w:instrText>
      </w:r>
      <w:r>
        <w:rPr>
          <w:rFonts w:hint="eastAsia" w:ascii="宋体" w:hAnsi="宋体" w:eastAsia="宋体" w:cs="宋体"/>
          <w:sz w:val="20"/>
          <w:szCs w:val="20"/>
        </w:rPr>
        <w:fldChar w:fldCharType="separate"/>
      </w:r>
      <w:r>
        <w:rPr>
          <w:rFonts w:hint="eastAsia" w:ascii="宋体" w:hAnsi="宋体" w:eastAsia="宋体" w:cs="宋体"/>
          <w:sz w:val="20"/>
          <w:szCs w:val="20"/>
        </w:rPr>
        <w:t>- 46 -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_Toc20768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4- 4</w:t>
      </w:r>
      <w:r>
        <w:rPr>
          <w:rFonts w:hint="eastAsia" w:ascii="宋体" w:hAnsi="宋体" w:eastAsia="宋体" w:cs="宋体"/>
          <w:sz w:val="20"/>
          <w:szCs w:val="20"/>
          <w:lang w:eastAsia="zh-CN"/>
        </w:rPr>
        <w:t xml:space="preserve">  【太湖创意职业技术学院青年学习社开展主题学习感悟活动】</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_Toc20768 \h </w:instrText>
      </w:r>
      <w:r>
        <w:rPr>
          <w:rFonts w:hint="eastAsia" w:ascii="宋体" w:hAnsi="宋体" w:eastAsia="宋体" w:cs="宋体"/>
          <w:sz w:val="20"/>
          <w:szCs w:val="20"/>
        </w:rPr>
        <w:fldChar w:fldCharType="separate"/>
      </w:r>
      <w:r>
        <w:rPr>
          <w:rFonts w:hint="eastAsia" w:ascii="宋体" w:hAnsi="宋体" w:eastAsia="宋体" w:cs="宋体"/>
          <w:sz w:val="20"/>
          <w:szCs w:val="20"/>
        </w:rPr>
        <w:t>- 48 -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_Toc13720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4- 5</w:t>
      </w:r>
      <w:r>
        <w:rPr>
          <w:rFonts w:hint="eastAsia" w:ascii="宋体" w:hAnsi="宋体" w:eastAsia="宋体" w:cs="宋体"/>
          <w:sz w:val="20"/>
          <w:szCs w:val="20"/>
          <w:lang w:eastAsia="zh-CN"/>
        </w:rPr>
        <w:t xml:space="preserve">  【太湖创意职业技术学院开展创意设计展】</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_Toc13720 \h </w:instrText>
      </w:r>
      <w:r>
        <w:rPr>
          <w:rFonts w:hint="eastAsia" w:ascii="宋体" w:hAnsi="宋体" w:eastAsia="宋体" w:cs="宋体"/>
          <w:sz w:val="20"/>
          <w:szCs w:val="20"/>
        </w:rPr>
        <w:fldChar w:fldCharType="separate"/>
      </w:r>
      <w:r>
        <w:rPr>
          <w:rFonts w:hint="eastAsia" w:ascii="宋体" w:hAnsi="宋体" w:eastAsia="宋体" w:cs="宋体"/>
          <w:sz w:val="20"/>
          <w:szCs w:val="20"/>
        </w:rPr>
        <w:t>- 52 -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_Toc23001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6- 1</w:t>
      </w:r>
      <w:r>
        <w:rPr>
          <w:rFonts w:hint="eastAsia" w:ascii="宋体" w:hAnsi="宋体" w:eastAsia="宋体" w:cs="宋体"/>
          <w:sz w:val="20"/>
          <w:szCs w:val="20"/>
          <w:lang w:eastAsia="zh-CN"/>
        </w:rPr>
        <w:t xml:space="preserve">  【</w:t>
      </w:r>
      <w:r>
        <w:rPr>
          <w:rFonts w:hint="eastAsia" w:ascii="宋体" w:hAnsi="宋体" w:eastAsia="宋体" w:cs="宋体"/>
          <w:sz w:val="20"/>
          <w:szCs w:val="20"/>
          <w:lang w:val="en-US" w:eastAsia="zh-CN"/>
        </w:rPr>
        <w:t>太湖创意职业技术学院</w:t>
      </w:r>
      <w:r>
        <w:rPr>
          <w:rFonts w:hint="eastAsia" w:ascii="宋体" w:hAnsi="宋体" w:eastAsia="宋体" w:cs="宋体"/>
          <w:sz w:val="20"/>
          <w:szCs w:val="20"/>
          <w:lang w:eastAsia="zh-CN"/>
        </w:rPr>
        <w:t>双元制校企合作联合人才培养项目】</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_Toc23001 \h </w:instrText>
      </w:r>
      <w:r>
        <w:rPr>
          <w:rFonts w:hint="eastAsia" w:ascii="宋体" w:hAnsi="宋体" w:eastAsia="宋体" w:cs="宋体"/>
          <w:sz w:val="20"/>
          <w:szCs w:val="20"/>
        </w:rPr>
        <w:fldChar w:fldCharType="separate"/>
      </w:r>
      <w:r>
        <w:rPr>
          <w:rFonts w:hint="eastAsia" w:ascii="宋体" w:hAnsi="宋体" w:eastAsia="宋体" w:cs="宋体"/>
          <w:sz w:val="20"/>
          <w:szCs w:val="20"/>
        </w:rPr>
        <w:t>- 63 -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_Toc18370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6- 2</w:t>
      </w:r>
      <w:r>
        <w:rPr>
          <w:rFonts w:hint="eastAsia" w:ascii="宋体" w:hAnsi="宋体" w:eastAsia="宋体" w:cs="宋体"/>
          <w:sz w:val="20"/>
          <w:szCs w:val="20"/>
          <w:lang w:eastAsia="zh-CN"/>
        </w:rPr>
        <w:t xml:space="preserve">  【太湖创意职业技术学院与新瑞医院教学医院揭牌】</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_Toc18370 \h </w:instrText>
      </w:r>
      <w:r>
        <w:rPr>
          <w:rFonts w:hint="eastAsia" w:ascii="宋体" w:hAnsi="宋体" w:eastAsia="宋体" w:cs="宋体"/>
          <w:sz w:val="20"/>
          <w:szCs w:val="20"/>
        </w:rPr>
        <w:fldChar w:fldCharType="separate"/>
      </w:r>
      <w:r>
        <w:rPr>
          <w:rFonts w:hint="eastAsia" w:ascii="宋体" w:hAnsi="宋体" w:eastAsia="宋体" w:cs="宋体"/>
          <w:sz w:val="20"/>
          <w:szCs w:val="20"/>
        </w:rPr>
        <w:t>- 64 -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_Toc769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7- 1</w:t>
      </w:r>
      <w:r>
        <w:rPr>
          <w:rFonts w:hint="eastAsia" w:ascii="宋体" w:hAnsi="宋体" w:eastAsia="宋体" w:cs="宋体"/>
          <w:sz w:val="20"/>
          <w:szCs w:val="20"/>
          <w:lang w:eastAsia="zh-CN"/>
        </w:rPr>
        <w:t xml:space="preserve">  【太湖创意职业技术学院邀请宣讲团为学校师生作党的二十大精神宣讲】</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_Toc769 \h </w:instrText>
      </w:r>
      <w:r>
        <w:rPr>
          <w:rFonts w:hint="eastAsia" w:ascii="宋体" w:hAnsi="宋体" w:eastAsia="宋体" w:cs="宋体"/>
          <w:sz w:val="20"/>
          <w:szCs w:val="20"/>
        </w:rPr>
        <w:fldChar w:fldCharType="separate"/>
      </w:r>
      <w:r>
        <w:rPr>
          <w:rFonts w:hint="eastAsia" w:ascii="宋体" w:hAnsi="宋体" w:eastAsia="宋体" w:cs="宋体"/>
          <w:sz w:val="20"/>
          <w:szCs w:val="20"/>
        </w:rPr>
        <w:t>- 67 -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_Toc12853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7- 2</w:t>
      </w:r>
      <w:r>
        <w:rPr>
          <w:rFonts w:hint="eastAsia" w:ascii="宋体" w:hAnsi="宋体" w:eastAsia="宋体" w:cs="宋体"/>
          <w:sz w:val="20"/>
          <w:szCs w:val="20"/>
          <w:lang w:eastAsia="zh-CN"/>
        </w:rPr>
        <w:t xml:space="preserve">  【太湖创意职业技术学院赴无锡智慧体育产业园调研交流】</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_Toc12853 \h </w:instrText>
      </w:r>
      <w:r>
        <w:rPr>
          <w:rFonts w:hint="eastAsia" w:ascii="宋体" w:hAnsi="宋体" w:eastAsia="宋体" w:cs="宋体"/>
          <w:sz w:val="20"/>
          <w:szCs w:val="20"/>
        </w:rPr>
        <w:fldChar w:fldCharType="separate"/>
      </w:r>
      <w:r>
        <w:rPr>
          <w:rFonts w:hint="eastAsia" w:ascii="宋体" w:hAnsi="宋体" w:eastAsia="宋体" w:cs="宋体"/>
          <w:sz w:val="20"/>
          <w:szCs w:val="20"/>
        </w:rPr>
        <w:t>- 71 -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_Toc959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7- 3</w:t>
      </w:r>
      <w:r>
        <w:rPr>
          <w:rFonts w:hint="eastAsia" w:ascii="宋体" w:hAnsi="宋体" w:eastAsia="宋体" w:cs="宋体"/>
          <w:sz w:val="20"/>
          <w:szCs w:val="20"/>
          <w:lang w:eastAsia="zh-CN"/>
        </w:rPr>
        <w:t xml:space="preserve">  【太湖创意职业技术学院第五次学生代表大会顺利召开】</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_Toc959 \h </w:instrText>
      </w:r>
      <w:r>
        <w:rPr>
          <w:rFonts w:hint="eastAsia" w:ascii="宋体" w:hAnsi="宋体" w:eastAsia="宋体" w:cs="宋体"/>
          <w:sz w:val="20"/>
          <w:szCs w:val="20"/>
        </w:rPr>
        <w:fldChar w:fldCharType="separate"/>
      </w:r>
      <w:r>
        <w:rPr>
          <w:rFonts w:hint="eastAsia" w:ascii="宋体" w:hAnsi="宋体" w:eastAsia="宋体" w:cs="宋体"/>
          <w:sz w:val="20"/>
          <w:szCs w:val="20"/>
        </w:rPr>
        <w:t>- 75 -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pStyle w:val="10"/>
        <w:keepNext w:val="0"/>
        <w:keepLines w:val="0"/>
        <w:pageBreakBefore w:val="0"/>
        <w:widowControl w:val="0"/>
        <w:tabs>
          <w:tab w:val="right" w:leader="dot" w:pos="8306"/>
        </w:tabs>
        <w:kinsoku/>
        <w:wordWrap/>
        <w:overflowPunct/>
        <w:topLinePunct w:val="0"/>
        <w:autoSpaceDE/>
        <w:autoSpaceDN/>
        <w:bidi w:val="0"/>
        <w:adjustRightInd/>
        <w:snapToGrid/>
        <w:spacing w:line="220" w:lineRule="exact"/>
        <w:textAlignment w:val="auto"/>
        <w:rPr>
          <w:rFonts w:hint="eastAsia" w:ascii="宋体" w:hAnsi="宋体" w:eastAsia="宋体" w:cs="宋体"/>
          <w:sz w:val="20"/>
          <w:szCs w:val="20"/>
        </w:rPr>
      </w:pPr>
      <w:r>
        <w:rPr>
          <w:rFonts w:hint="eastAsia" w:ascii="宋体" w:hAnsi="宋体" w:eastAsia="宋体" w:cs="宋体"/>
          <w:bCs/>
          <w:sz w:val="20"/>
          <w:szCs w:val="20"/>
          <w:lang w:val="en-US" w:eastAsia="zh-CN"/>
        </w:rPr>
        <w:fldChar w:fldCharType="begin"/>
      </w:r>
      <w:r>
        <w:rPr>
          <w:rFonts w:hint="eastAsia" w:ascii="宋体" w:hAnsi="宋体" w:eastAsia="宋体" w:cs="宋体"/>
          <w:bCs/>
          <w:sz w:val="20"/>
          <w:szCs w:val="20"/>
          <w:lang w:val="en-US" w:eastAsia="zh-CN"/>
        </w:rPr>
        <w:instrText xml:space="preserve"> HYPERLINK \l _Toc1667 </w:instrText>
      </w:r>
      <w:r>
        <w:rPr>
          <w:rFonts w:hint="eastAsia" w:ascii="宋体" w:hAnsi="宋体" w:eastAsia="宋体" w:cs="宋体"/>
          <w:bCs/>
          <w:sz w:val="20"/>
          <w:szCs w:val="20"/>
          <w:lang w:val="en-US" w:eastAsia="zh-CN"/>
        </w:rPr>
        <w:fldChar w:fldCharType="separate"/>
      </w:r>
      <w:r>
        <w:rPr>
          <w:rFonts w:hint="eastAsia" w:ascii="宋体" w:hAnsi="宋体" w:eastAsia="宋体" w:cs="宋体"/>
          <w:sz w:val="20"/>
          <w:szCs w:val="20"/>
        </w:rPr>
        <w:t>案例 7- 4</w:t>
      </w:r>
      <w:r>
        <w:rPr>
          <w:rFonts w:hint="eastAsia" w:ascii="宋体" w:hAnsi="宋体" w:eastAsia="宋体" w:cs="宋体"/>
          <w:sz w:val="20"/>
          <w:szCs w:val="20"/>
          <w:lang w:eastAsia="zh-CN"/>
        </w:rPr>
        <w:t xml:space="preserve">  【无锡太湖学院会计学院专家来太湖创意职业技术学院进行专项督导】</w:t>
      </w:r>
      <w:r>
        <w:rPr>
          <w:rFonts w:hint="eastAsia" w:ascii="宋体" w:hAnsi="宋体" w:eastAsia="宋体" w:cs="宋体"/>
          <w:sz w:val="20"/>
          <w:szCs w:val="20"/>
        </w:rPr>
        <w:tab/>
      </w: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PAGEREF _Toc1667 \h </w:instrText>
      </w:r>
      <w:r>
        <w:rPr>
          <w:rFonts w:hint="eastAsia" w:ascii="宋体" w:hAnsi="宋体" w:eastAsia="宋体" w:cs="宋体"/>
          <w:sz w:val="20"/>
          <w:szCs w:val="20"/>
        </w:rPr>
        <w:fldChar w:fldCharType="separate"/>
      </w:r>
      <w:r>
        <w:rPr>
          <w:rFonts w:hint="eastAsia" w:ascii="宋体" w:hAnsi="宋体" w:eastAsia="宋体" w:cs="宋体"/>
          <w:sz w:val="20"/>
          <w:szCs w:val="20"/>
        </w:rPr>
        <w:t>- 77 -</w:t>
      </w:r>
      <w:r>
        <w:rPr>
          <w:rFonts w:hint="eastAsia" w:ascii="宋体" w:hAnsi="宋体" w:eastAsia="宋体" w:cs="宋体"/>
          <w:sz w:val="20"/>
          <w:szCs w:val="20"/>
        </w:rPr>
        <w:fldChar w:fldCharType="end"/>
      </w:r>
      <w:r>
        <w:rPr>
          <w:rFonts w:hint="eastAsia" w:ascii="宋体" w:hAnsi="宋体" w:eastAsia="宋体" w:cs="宋体"/>
          <w:bCs/>
          <w:sz w:val="20"/>
          <w:szCs w:val="20"/>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before="0" w:after="0" w:line="520" w:lineRule="exact"/>
        <w:ind w:firstLine="480" w:firstLineChars="200"/>
        <w:textAlignment w:val="auto"/>
        <w:outlineLvl w:val="0"/>
        <w:rPr>
          <w:rFonts w:hint="eastAsia" w:ascii="宋体" w:hAnsi="宋体" w:cs="宋体"/>
          <w:b/>
          <w:bCs/>
          <w:sz w:val="28"/>
          <w:szCs w:val="28"/>
          <w:lang w:val="en-US" w:eastAsia="zh-CN"/>
        </w:rPr>
      </w:pPr>
      <w:r>
        <w:rPr>
          <w:rFonts w:hint="eastAsia" w:ascii="宋体" w:hAnsi="宋体" w:cs="宋体"/>
          <w:bCs/>
          <w:szCs w:val="28"/>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sectPr>
          <w:footerReference r:id="rId6" w:type="default"/>
          <w:pgSz w:w="11906" w:h="16838"/>
          <w:pgMar w:top="1440" w:right="1800" w:bottom="1440" w:left="1800" w:header="851" w:footer="992" w:gutter="0"/>
          <w:pgNumType w:fmt="numberInDash"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bookmarkStart w:id="0" w:name="_Toc5295"/>
      <w:r>
        <w:rPr>
          <w:rFonts w:hint="eastAsia" w:ascii="宋体" w:hAnsi="宋体" w:cs="宋体"/>
          <w:b/>
          <w:bCs/>
          <w:sz w:val="28"/>
          <w:szCs w:val="28"/>
          <w:lang w:val="en-US" w:eastAsia="zh-CN"/>
        </w:rPr>
        <w:t>1.基本情况</w:t>
      </w:r>
      <w:bookmarkEnd w:id="0"/>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 w:name="_Toc14368"/>
      <w:r>
        <w:rPr>
          <w:rFonts w:hint="eastAsia" w:ascii="宋体" w:hAnsi="宋体" w:cs="宋体"/>
          <w:b/>
          <w:bCs/>
          <w:sz w:val="28"/>
          <w:szCs w:val="28"/>
          <w:lang w:val="en-US" w:eastAsia="zh-CN"/>
        </w:rPr>
        <w:t>1.1学校概况</w:t>
      </w:r>
      <w:bookmarkEnd w:id="1"/>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我院是2007年经江苏省人民政府批准成立，报教育部备案的民办全日制普通高校。我院以“创意”命名，旨在培养社会急需的富有创新、创造精神和实践能力强的技术技能型人才。办学10</w:t>
      </w:r>
      <w:r>
        <w:rPr>
          <w:rFonts w:hint="eastAsia" w:ascii="宋体" w:hAnsi="宋体" w:cs="宋体"/>
          <w:sz w:val="28"/>
          <w:szCs w:val="28"/>
          <w:lang w:val="en-US" w:eastAsia="zh-CN"/>
        </w:rPr>
        <w:t>余</w:t>
      </w:r>
      <w:r>
        <w:rPr>
          <w:rFonts w:hint="eastAsia" w:ascii="宋体" w:hAnsi="宋体" w:cs="宋体"/>
          <w:sz w:val="28"/>
          <w:szCs w:val="28"/>
        </w:rPr>
        <w:t>年来，学院审时度势、抢抓机遇、科学决策、跨越发展，以质量促发展，以特色创品牌，全院上下凝心聚力，顽强拼搏，锐意进取，各项事业取得长足发展。学院当选为中国民办教育协会高专委副理事长、江苏省民办教育协会副会长单位，被授予“全国民办教育先进集体”、“全国动漫设计基地”、“全国服务外包人才培训基地”、“无锡首家服务外包人才培训基地”等各项荣誉称号。2016年10月，我院申报的“双元制校企合作联合人才培养项目”被认定为无锡市校企合作示范组合，是无锡市唯一一所获评该奖项的民办高职院校。2016年10月艺术专业被评为无锡市高等职业教育特色专业，2017年5月会计专业被评为无锡市职业教育现代化特色专业。</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学院</w:t>
      </w:r>
      <w:r>
        <w:rPr>
          <w:rFonts w:hint="eastAsia" w:ascii="宋体" w:hAnsi="宋体" w:cs="宋体"/>
          <w:sz w:val="28"/>
          <w:szCs w:val="28"/>
          <w:lang w:val="en-US" w:eastAsia="zh-CN"/>
        </w:rPr>
        <w:t>总占地</w:t>
      </w:r>
      <w:r>
        <w:rPr>
          <w:rFonts w:hint="eastAsia" w:ascii="宋体" w:hAnsi="宋体" w:cs="宋体"/>
          <w:sz w:val="28"/>
          <w:szCs w:val="28"/>
        </w:rPr>
        <w:t>面积为</w:t>
      </w:r>
      <w:r>
        <w:rPr>
          <w:rFonts w:hint="eastAsia" w:ascii="宋体" w:hAnsi="宋体" w:cs="宋体"/>
          <w:sz w:val="28"/>
          <w:szCs w:val="28"/>
          <w:lang w:val="en-US" w:eastAsia="zh-CN"/>
        </w:rPr>
        <w:t>10.2232</w:t>
      </w:r>
      <w:r>
        <w:rPr>
          <w:rFonts w:hint="eastAsia" w:ascii="宋体" w:hAnsi="宋体" w:cs="宋体"/>
          <w:sz w:val="28"/>
          <w:szCs w:val="28"/>
        </w:rPr>
        <w:t>万平方米，现设2</w:t>
      </w:r>
      <w:r>
        <w:rPr>
          <w:rFonts w:hint="eastAsia" w:ascii="宋体" w:hAnsi="宋体" w:cs="宋体"/>
          <w:sz w:val="28"/>
          <w:szCs w:val="28"/>
          <w:lang w:val="en-US" w:eastAsia="zh-CN"/>
        </w:rPr>
        <w:t>9</w:t>
      </w:r>
      <w:r>
        <w:rPr>
          <w:rFonts w:hint="eastAsia" w:ascii="宋体" w:hAnsi="宋体" w:cs="宋体"/>
          <w:sz w:val="28"/>
          <w:szCs w:val="28"/>
        </w:rPr>
        <w:t>个专业。</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eastAsia="zh-CN"/>
        </w:rPr>
      </w:pPr>
      <w:r>
        <w:rPr>
          <w:rFonts w:hint="eastAsia" w:ascii="宋体" w:hAnsi="宋体" w:cs="宋体"/>
          <w:sz w:val="28"/>
          <w:szCs w:val="28"/>
        </w:rPr>
        <w:t>学院以“立德树人、育人成才”为目标，以全新、独特的理念发挥无锡市创业产业优势，突出“地方性、技能型”的教学特色，面向企业，按需施教；面向学生，因材施教。学院高度重视“专转本”工作，促进学生的长远发展，将高等职业教育对接应用型本科教育，通过“专本分段培养”、“专转本”等方式，为希望深造的学生提供多人才成长的立交桥</w:t>
      </w:r>
      <w:r>
        <w:rPr>
          <w:rFonts w:hint="eastAsia" w:ascii="宋体" w:hAnsi="宋体" w:cs="宋体"/>
          <w:sz w:val="28"/>
          <w:szCs w:val="28"/>
          <w:lang w:eastAsia="zh-CN"/>
        </w:rPr>
        <w:t>。</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学院领导班子高度重视学院的内涵建设，组织全体教职工深入学习“职业院校管理水平提升行动计划（2015-2018年）”、“高等职业教育创新发展行动计划（</w:t>
      </w:r>
      <w:r>
        <w:rPr>
          <w:rFonts w:hint="eastAsia" w:ascii="宋体" w:hAnsi="宋体" w:cs="宋体"/>
          <w:sz w:val="28"/>
          <w:szCs w:val="28"/>
          <w:lang w:val="en-US" w:eastAsia="zh-CN"/>
        </w:rPr>
        <w:t>2019</w:t>
      </w:r>
      <w:r>
        <w:rPr>
          <w:rFonts w:hint="eastAsia" w:ascii="宋体" w:hAnsi="宋体" w:cs="宋体"/>
          <w:sz w:val="28"/>
          <w:szCs w:val="28"/>
        </w:rPr>
        <w:t>）”及全国加快现代职业教育发展工作会议等精神，坚持以服务为宗旨，以就业为导向，走产教融合、校企合作之路，加强科技发展和社会服务，不断提升为区域经济社会发展服务的能力和水平。</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确立为地方经济发展和产业转型升级服务的理念。学院建校后，组织中层领导到国内高职院校进行调研学习，开展如何办好高职教育的大讨论，加深对高职教育的认识，统一思想，以“质量、特色、融合、开放”为发展主题，明确办好高职院校的工作思路，确立以社会需求为宗旨的办学观念，明确技术技能型人才的培养目标，探索校企合作、产教融合的人才培养机制，加强双师型师资队伍建设，不断完善实践教学条件，开展以学生为本的教学管理改革，建立理论学习与实习实训相融合的教学监控体系等。逐步在全院教职工中树立了以学生为主体、以教师为主导、以教学为中心、以质量为生命线的立校观念，积极开展教育教学改革、体制机制创新，努力探索创建特色专业的教改思路，不断实践以就业为导向、以职业岗位工作所需的技术技能和知识为教学内容的课程改革，认真做好人才培养工作，带动科学研究，服务社会。</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办学定位：立足无锡，服务苏南，为地方经济发展和产业转型升级培养高素质技术技能型专门人才。</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rPr>
        <w:t>专业定位：按照专业集群集成发展与无锡、苏南产业发展相对接的思路，重点办好</w:t>
      </w:r>
      <w:r>
        <w:rPr>
          <w:rFonts w:hint="eastAsia" w:ascii="宋体" w:hAnsi="宋体" w:cs="宋体"/>
          <w:sz w:val="28"/>
          <w:szCs w:val="28"/>
          <w:lang w:val="en-US" w:eastAsia="zh-CN"/>
        </w:rPr>
        <w:t>艺术设计</w:t>
      </w:r>
      <w:r>
        <w:rPr>
          <w:rFonts w:hint="eastAsia" w:ascii="宋体" w:hAnsi="宋体" w:cs="宋体"/>
          <w:sz w:val="28"/>
          <w:szCs w:val="28"/>
        </w:rPr>
        <w:t>、</w:t>
      </w:r>
      <w:r>
        <w:rPr>
          <w:rFonts w:hint="eastAsia" w:ascii="宋体" w:hAnsi="宋体" w:cs="宋体"/>
          <w:sz w:val="28"/>
          <w:szCs w:val="28"/>
          <w:lang w:val="en-US" w:eastAsia="zh-CN"/>
        </w:rPr>
        <w:t>电子商务</w:t>
      </w:r>
      <w:r>
        <w:rPr>
          <w:rFonts w:hint="eastAsia" w:ascii="宋体" w:hAnsi="宋体" w:cs="宋体"/>
          <w:sz w:val="28"/>
          <w:szCs w:val="28"/>
        </w:rPr>
        <w:t>、乘务、</w:t>
      </w:r>
      <w:r>
        <w:rPr>
          <w:rFonts w:hint="eastAsia" w:ascii="宋体" w:hAnsi="宋体" w:cs="宋体"/>
          <w:sz w:val="28"/>
          <w:szCs w:val="28"/>
          <w:lang w:val="en-US" w:eastAsia="zh-CN"/>
        </w:rPr>
        <w:t>物联网应用技术4</w:t>
      </w:r>
      <w:r>
        <w:rPr>
          <w:rFonts w:hint="eastAsia" w:ascii="宋体" w:hAnsi="宋体" w:cs="宋体"/>
          <w:sz w:val="28"/>
          <w:szCs w:val="28"/>
        </w:rPr>
        <w:t>个专业群，新增</w:t>
      </w:r>
      <w:r>
        <w:rPr>
          <w:rFonts w:hint="eastAsia" w:ascii="宋体" w:hAnsi="宋体" w:cs="宋体"/>
          <w:sz w:val="28"/>
          <w:szCs w:val="28"/>
          <w:lang w:val="en-US" w:eastAsia="zh-CN"/>
        </w:rPr>
        <w:t>集成电路技术、网络营销与直播电商、智慧健康养老服务与管理</w:t>
      </w:r>
      <w:r>
        <w:rPr>
          <w:rFonts w:hint="eastAsia" w:ascii="宋体" w:hAnsi="宋体" w:cs="宋体"/>
          <w:sz w:val="28"/>
          <w:szCs w:val="28"/>
        </w:rPr>
        <w:t>已在20</w:t>
      </w:r>
      <w:r>
        <w:rPr>
          <w:rFonts w:hint="eastAsia" w:ascii="宋体" w:hAnsi="宋体" w:cs="宋体"/>
          <w:sz w:val="28"/>
          <w:szCs w:val="28"/>
          <w:lang w:val="en-US" w:eastAsia="zh-CN"/>
        </w:rPr>
        <w:t>22</w:t>
      </w:r>
      <w:r>
        <w:rPr>
          <w:rFonts w:hint="eastAsia" w:ascii="宋体" w:hAnsi="宋体" w:cs="宋体"/>
          <w:sz w:val="28"/>
          <w:szCs w:val="28"/>
        </w:rPr>
        <w:t>年招生。</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人才培养目标：培养理论够用、具备职业岗位实际工作能力的高素质技术技能型专门人才。</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学院发展定位：努力把学院建成让学生满意、员工信赖、社会认同、同行尊重，具有特色鲜明、结构合理、校园优美、效益显著，在全国同类院校中有较大影响的民办高职院校。</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努力开发学生的创意思维。创意是创新的初始阶段，创新离不开创意。各行各业都需要创新，各项工作都需要创意。学院提出：在通识教育的基础上，把“创意能力+专业能力”作为培养宗旨。在全院选修课中，设置了创意思维与训练、创意活动与实践、创意设计启蒙等课程，旨在开发学生的“创意”，放飞学生的思想，随着学生的知识积累，视野开阔，进而勇于“创新”，能够“创新”，在创新中不断提高能力，甚至“创造”、“发明”。我们将在若干年实践的基础上，总结经验，逐步把创意系列课程设置到每个专业的必修课之中。</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2" w:name="_Toc22022"/>
      <w:r>
        <w:rPr>
          <w:rFonts w:hint="eastAsia" w:ascii="宋体" w:hAnsi="宋体" w:cs="宋体"/>
          <w:b/>
          <w:bCs/>
          <w:sz w:val="28"/>
          <w:szCs w:val="28"/>
          <w:lang w:val="en-US" w:eastAsia="zh-CN"/>
        </w:rPr>
        <w:t>1.2专业情况</w:t>
      </w:r>
      <w:bookmarkEnd w:id="2"/>
    </w:p>
    <w:p>
      <w:pPr>
        <w:pStyle w:val="6"/>
        <w:jc w:val="center"/>
        <w:rPr>
          <w:rFonts w:hint="eastAsia" w:eastAsia="宋体"/>
          <w:lang w:eastAsia="zh-CN"/>
        </w:rPr>
      </w:pPr>
      <w:bookmarkStart w:id="3" w:name="_Toc22913"/>
      <w:r>
        <w:t xml:space="preserve">表 </w:t>
      </w:r>
      <w:r>
        <w:fldChar w:fldCharType="begin"/>
      </w:r>
      <w:r>
        <w:instrText xml:space="preserve"> SEQ 表 \* ARABIC </w:instrText>
      </w:r>
      <w:r>
        <w:fldChar w:fldCharType="separate"/>
      </w:r>
      <w:r>
        <w:t>1</w:t>
      </w:r>
      <w:r>
        <w:fldChar w:fldCharType="end"/>
      </w:r>
      <w:bookmarkStart w:id="4" w:name="_Toc24694"/>
      <w:bookmarkStart w:id="5" w:name="_Toc2637"/>
      <w:r>
        <w:rPr>
          <w:rFonts w:hint="eastAsia"/>
          <w:lang w:eastAsia="zh-CN"/>
        </w:rPr>
        <w:t xml:space="preserve">  教学资源表</w:t>
      </w:r>
      <w:bookmarkEnd w:id="3"/>
      <w:bookmarkEnd w:id="4"/>
      <w:bookmarkEnd w:id="5"/>
    </w:p>
    <w:tbl>
      <w:tblPr>
        <w:tblStyle w:val="13"/>
        <w:tblW w:w="892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53"/>
        <w:gridCol w:w="3660"/>
        <w:gridCol w:w="950"/>
        <w:gridCol w:w="1248"/>
        <w:gridCol w:w="1172"/>
        <w:gridCol w:w="10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8924" w:type="dxa"/>
            <w:gridSpan w:val="6"/>
            <w:tcBorders>
              <w:top w:val="nil"/>
              <w:left w:val="nil"/>
              <w:bottom w:val="nil"/>
              <w:right w:val="nil"/>
            </w:tcBorders>
            <w:shd w:val="clear" w:color="auto" w:fill="auto"/>
            <w:noWrap/>
            <w:vAlign w:val="center"/>
          </w:tcPr>
          <w:p>
            <w:pPr>
              <w:keepNext w:val="0"/>
              <w:keepLines w:val="0"/>
              <w:widowControl/>
              <w:suppressLineNumbers w:val="0"/>
              <w:spacing w:line="240" w:lineRule="auto"/>
              <w:jc w:val="left"/>
              <w:textAlignment w:val="center"/>
              <w:rPr>
                <w:rFonts w:ascii="仿宋_GB2312" w:hAnsi="等线" w:eastAsia="仿宋_GB2312" w:cs="仿宋_GB2312"/>
                <w:b/>
                <w:bCs/>
                <w:i w:val="0"/>
                <w:iCs w:val="0"/>
                <w:color w:val="000000"/>
                <w:sz w:val="28"/>
                <w:szCs w:val="28"/>
                <w:u w:val="none"/>
              </w:rPr>
            </w:pPr>
            <w:r>
              <w:rPr>
                <w:rFonts w:hint="eastAsia" w:ascii="宋体" w:hAnsi="宋体" w:eastAsia="宋体" w:cs="宋体"/>
                <w:b/>
                <w:bCs/>
                <w:i w:val="0"/>
                <w:iCs w:val="0"/>
                <w:color w:val="000000"/>
                <w:kern w:val="0"/>
                <w:sz w:val="24"/>
                <w:szCs w:val="24"/>
                <w:u w:val="none"/>
                <w:lang w:val="en-US" w:eastAsia="zh-CN" w:bidi="ar"/>
              </w:rPr>
              <w:t>名称：太湖创意职业技术学院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2022年</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lang w:val="en-US" w:eastAsia="zh-CN"/>
              </w:rPr>
            </w:pPr>
            <w:r>
              <w:rPr>
                <w:rFonts w:hint="eastAsia" w:ascii="宋体" w:hAnsi="宋体" w:eastAsia="宋体" w:cs="宋体"/>
                <w:b/>
                <w:bCs/>
                <w:i w:val="0"/>
                <w:iCs w:val="0"/>
                <w:color w:val="000000"/>
                <w:sz w:val="24"/>
                <w:szCs w:val="24"/>
                <w:u w:val="none"/>
                <w:lang w:val="en-US" w:eastAsia="zh-CN"/>
              </w:rPr>
              <w:t>2023年</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生师比</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14.87</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17.41</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双师素质专任教师比例</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29.37</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30.07</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高级专业技术职务专任教师比例</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6.35</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5.88</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36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教学计划内课程总数</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195</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239</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学时</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94252</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71452</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其中：课证融通课程数</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学时</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16320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10272</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网络教学课程数</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学时</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128</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教学资源库数</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其中：国家级数量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接入国家智慧教育平台数量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省级数量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接入国家智慧教育平台数量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校级数量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接入国家智慧教育平台数量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36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在线精品课程数</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学时</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在线精品课程课均学生数</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其中：国家级数量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接入国家智慧教育平台数量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省级数量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接入国家智慧教育平台数量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校级数量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接入国家智慧教育平台数量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门</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编写教材数</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其中：国家规划教材数量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校企合作编写教材数量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新形态教材数量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接入国家智慧教育平台数量</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互联网出口带宽</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Mbps</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100.00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100.00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校园网主干最大带宽</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Mbps</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100.00</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100.00</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生均校内实践教学工位数</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r>
              <w:rPr>
                <w:rStyle w:val="17"/>
                <w:rFonts w:hint="eastAsia" w:ascii="宋体" w:hAnsi="宋体" w:eastAsia="宋体" w:cs="宋体"/>
                <w:sz w:val="20"/>
                <w:szCs w:val="20"/>
                <w:lang w:val="en-US" w:eastAsia="zh-CN" w:bidi="ar"/>
              </w:rPr>
              <w:t>/</w:t>
            </w:r>
            <w:r>
              <w:rPr>
                <w:rFonts w:hint="eastAsia" w:ascii="宋体" w:hAnsi="宋体" w:eastAsia="宋体" w:cs="宋体"/>
                <w:i w:val="0"/>
                <w:iCs w:val="0"/>
                <w:color w:val="000000"/>
                <w:kern w:val="0"/>
                <w:sz w:val="20"/>
                <w:szCs w:val="20"/>
                <w:u w:val="none"/>
                <w:lang w:val="en-US" w:eastAsia="zh-CN" w:bidi="ar"/>
              </w:rPr>
              <w:t>生</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0.71</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0.51</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9" w:hRule="exact"/>
          <w:jc w:val="center"/>
        </w:trPr>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366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left"/>
              <w:rPr>
                <w:rFonts w:hint="eastAsia" w:ascii="宋体" w:hAnsi="宋体" w:eastAsia="宋体" w:cs="宋体"/>
                <w:sz w:val="20"/>
                <w:szCs w:val="20"/>
              </w:rPr>
            </w:pPr>
            <w:r>
              <w:rPr>
                <w:rFonts w:hint="eastAsia" w:ascii="宋体" w:hAnsi="宋体" w:eastAsia="宋体" w:cs="宋体"/>
                <w:sz w:val="20"/>
                <w:szCs w:val="20"/>
                <w:lang w:val="en-US" w:eastAsia="zh-CN"/>
              </w:rPr>
              <w:t>生均教学科研仪器设备值</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r>
              <w:rPr>
                <w:rStyle w:val="17"/>
                <w:rFonts w:hint="eastAsia" w:ascii="宋体" w:hAnsi="宋体" w:eastAsia="宋体" w:cs="宋体"/>
                <w:sz w:val="20"/>
                <w:szCs w:val="20"/>
                <w:lang w:val="en-US" w:eastAsia="zh-CN" w:bidi="ar"/>
              </w:rPr>
              <w:t>/</w:t>
            </w:r>
            <w:r>
              <w:rPr>
                <w:rFonts w:hint="eastAsia" w:ascii="宋体" w:hAnsi="宋体" w:eastAsia="宋体" w:cs="宋体"/>
                <w:i w:val="0"/>
                <w:iCs w:val="0"/>
                <w:color w:val="000000"/>
                <w:kern w:val="0"/>
                <w:sz w:val="20"/>
                <w:szCs w:val="20"/>
                <w:u w:val="none"/>
                <w:lang w:val="en-US" w:eastAsia="zh-CN" w:bidi="ar"/>
              </w:rPr>
              <w:t>生</w:t>
            </w:r>
          </w:p>
        </w:tc>
        <w:tc>
          <w:tcPr>
            <w:tcW w:w="12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6002.45</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4694.39</w:t>
            </w:r>
          </w:p>
        </w:tc>
        <w:tc>
          <w:tcPr>
            <w:tcW w:w="104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bl>
    <w:p>
      <w:pPr>
        <w:widowControl w:val="0"/>
        <w:numPr>
          <w:ilvl w:val="0"/>
          <w:numId w:val="0"/>
        </w:numPr>
        <w:spacing w:before="0" w:after="0" w:line="240" w:lineRule="auto"/>
        <w:jc w:val="both"/>
        <w:outlineLvl w:val="9"/>
        <w:rPr>
          <w:rFonts w:hint="eastAsia" w:ascii="宋体" w:hAnsi="宋体"/>
          <w:b/>
          <w:bCs/>
          <w:sz w:val="28"/>
          <w:szCs w:val="28"/>
        </w:rPr>
      </w:pPr>
    </w:p>
    <w:p>
      <w:pPr>
        <w:pStyle w:val="4"/>
        <w:keepNext w:val="0"/>
        <w:keepLines w:val="0"/>
        <w:pageBreakBefore w:val="0"/>
        <w:widowControl w:val="0"/>
        <w:kinsoku/>
        <w:wordWrap/>
        <w:overflowPunct/>
        <w:topLinePunct w:val="0"/>
        <w:autoSpaceDE/>
        <w:autoSpaceDN/>
        <w:bidi w:val="0"/>
        <w:adjustRightInd/>
        <w:snapToGrid w:val="0"/>
        <w:spacing w:before="0" w:after="0" w:line="520" w:lineRule="exact"/>
        <w:ind w:left="0" w:leftChars="0"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学院专业开发与设置立足于服务区域经济发展需要，构建以区域产业需求为导向的专业开发模式，整合资源、优化结构、重点扶持。根据区域经济社会发展及产业结构调整，特别是物联网、机电一体化的发展要求，进行新一轮专业结构调整，学院已形成了以市级以上重点建设专业为龙头，校级重点专业为支撑的专业结构布局，其中艺术设计、大数据与会计专业为市级特色专业，计算机应用技术、机电一体化、护理专业为校级重点建设专业。</w:t>
      </w:r>
    </w:p>
    <w:p>
      <w:pPr>
        <w:keepNext w:val="0"/>
        <w:keepLines w:val="0"/>
        <w:pageBreakBefore w:val="0"/>
        <w:widowControl w:val="0"/>
        <w:kinsoku/>
        <w:wordWrap/>
        <w:overflowPunct/>
        <w:topLinePunct w:val="0"/>
        <w:autoSpaceDE/>
        <w:autoSpaceDN/>
        <w:bidi w:val="0"/>
        <w:adjustRightInd/>
        <w:spacing w:before="0"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学院设有艺术设计学院、现代服务学院、工程技术学院、康养护理学院4个二级学院。其中专业设置和专业建设基本信息如表</w:t>
      </w:r>
      <w:r>
        <w:rPr>
          <w:rFonts w:hint="eastAsia" w:ascii="宋体" w:hAnsi="宋体" w:cs="宋体"/>
          <w:kern w:val="2"/>
          <w:sz w:val="28"/>
          <w:szCs w:val="28"/>
          <w:lang w:val="en-US" w:eastAsia="zh-CN" w:bidi="ar-SA"/>
        </w:rPr>
        <w:t>2</w:t>
      </w:r>
      <w:r>
        <w:rPr>
          <w:rFonts w:hint="eastAsia" w:ascii="宋体" w:hAnsi="宋体" w:eastAsia="宋体" w:cs="宋体"/>
          <w:kern w:val="2"/>
          <w:sz w:val="28"/>
          <w:szCs w:val="28"/>
          <w:lang w:val="en-US" w:eastAsia="zh-CN" w:bidi="ar-SA"/>
        </w:rPr>
        <w:t>所列。</w:t>
      </w:r>
    </w:p>
    <w:p>
      <w:pPr>
        <w:pStyle w:val="6"/>
        <w:jc w:val="center"/>
        <w:rPr>
          <w:rFonts w:hint="eastAsia" w:eastAsia="宋体"/>
          <w:lang w:eastAsia="zh-CN"/>
        </w:rPr>
      </w:pPr>
      <w:bookmarkStart w:id="6" w:name="_Toc21572"/>
      <w:r>
        <w:t xml:space="preserve">表 </w:t>
      </w:r>
      <w:r>
        <w:fldChar w:fldCharType="begin"/>
      </w:r>
      <w:r>
        <w:instrText xml:space="preserve"> SEQ 表 \* ARABIC </w:instrText>
      </w:r>
      <w:r>
        <w:fldChar w:fldCharType="separate"/>
      </w:r>
      <w:r>
        <w:t>2</w:t>
      </w:r>
      <w:r>
        <w:fldChar w:fldCharType="end"/>
      </w:r>
      <w:bookmarkStart w:id="7" w:name="_Toc21841"/>
      <w:bookmarkStart w:id="8" w:name="_Toc17122"/>
      <w:r>
        <w:rPr>
          <w:rFonts w:hint="eastAsia"/>
          <w:lang w:eastAsia="zh-CN"/>
        </w:rPr>
        <w:t xml:space="preserve">  专业建设情况统计表</w:t>
      </w:r>
      <w:bookmarkEnd w:id="6"/>
      <w:bookmarkEnd w:id="7"/>
      <w:bookmarkEnd w:id="8"/>
    </w:p>
    <w:tbl>
      <w:tblPr>
        <w:tblStyle w:val="13"/>
        <w:tblW w:w="87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247"/>
        <w:gridCol w:w="2707"/>
        <w:gridCol w:w="1283"/>
        <w:gridCol w:w="1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704" w:type="dxa"/>
            <w:noWrap w:val="0"/>
            <w:vAlign w:val="center"/>
          </w:tcPr>
          <w:p>
            <w:pPr>
              <w:snapToGrid w:val="0"/>
              <w:spacing w:before="0" w:after="0" w:line="240" w:lineRule="auto"/>
              <w:rPr>
                <w:rFonts w:hint="eastAsia" w:ascii="宋体" w:hAnsi="宋体" w:eastAsia="宋体" w:cs="宋体"/>
                <w:b/>
                <w:bCs/>
                <w:sz w:val="24"/>
                <w:szCs w:val="24"/>
              </w:rPr>
            </w:pPr>
            <w:r>
              <w:rPr>
                <w:rFonts w:hint="eastAsia" w:ascii="宋体" w:hAnsi="宋体" w:eastAsia="宋体" w:cs="宋体"/>
                <w:b/>
                <w:bCs/>
                <w:sz w:val="24"/>
                <w:szCs w:val="24"/>
              </w:rPr>
              <w:t>院  系</w:t>
            </w:r>
          </w:p>
        </w:tc>
        <w:tc>
          <w:tcPr>
            <w:tcW w:w="1247" w:type="dxa"/>
            <w:noWrap w:val="0"/>
            <w:vAlign w:val="center"/>
          </w:tcPr>
          <w:p>
            <w:pPr>
              <w:snapToGrid w:val="0"/>
              <w:spacing w:before="0" w:after="0" w:line="240" w:lineRule="auto"/>
              <w:rPr>
                <w:rFonts w:hint="eastAsia" w:ascii="宋体" w:hAnsi="宋体" w:eastAsia="宋体" w:cs="宋体"/>
                <w:b/>
                <w:bCs/>
                <w:sz w:val="24"/>
                <w:szCs w:val="24"/>
              </w:rPr>
            </w:pPr>
            <w:r>
              <w:rPr>
                <w:rFonts w:hint="eastAsia" w:ascii="宋体" w:hAnsi="宋体" w:eastAsia="宋体" w:cs="宋体"/>
                <w:b/>
                <w:bCs/>
                <w:sz w:val="24"/>
                <w:szCs w:val="24"/>
              </w:rPr>
              <w:t>专业代码</w:t>
            </w:r>
          </w:p>
        </w:tc>
        <w:tc>
          <w:tcPr>
            <w:tcW w:w="2707" w:type="dxa"/>
            <w:noWrap w:val="0"/>
            <w:vAlign w:val="center"/>
          </w:tcPr>
          <w:p>
            <w:pPr>
              <w:snapToGrid w:val="0"/>
              <w:spacing w:before="0" w:after="0" w:line="240" w:lineRule="auto"/>
              <w:rPr>
                <w:rFonts w:hint="eastAsia" w:ascii="宋体" w:hAnsi="宋体" w:eastAsia="宋体" w:cs="宋体"/>
                <w:b/>
                <w:bCs/>
                <w:sz w:val="24"/>
                <w:szCs w:val="24"/>
              </w:rPr>
            </w:pPr>
            <w:r>
              <w:rPr>
                <w:rFonts w:hint="eastAsia" w:ascii="宋体" w:hAnsi="宋体" w:eastAsia="宋体" w:cs="宋体"/>
                <w:b/>
                <w:bCs/>
                <w:sz w:val="24"/>
                <w:szCs w:val="24"/>
              </w:rPr>
              <w:t>专业名称</w:t>
            </w:r>
          </w:p>
        </w:tc>
        <w:tc>
          <w:tcPr>
            <w:tcW w:w="1283" w:type="dxa"/>
            <w:noWrap w:val="0"/>
            <w:vAlign w:val="center"/>
          </w:tcPr>
          <w:p>
            <w:pPr>
              <w:snapToGrid w:val="0"/>
              <w:spacing w:before="0" w:after="0" w:line="240" w:lineRule="auto"/>
              <w:rPr>
                <w:rFonts w:hint="eastAsia" w:ascii="宋体" w:hAnsi="宋体" w:eastAsia="宋体" w:cs="宋体"/>
                <w:b/>
                <w:bCs/>
                <w:sz w:val="24"/>
                <w:szCs w:val="24"/>
              </w:rPr>
            </w:pPr>
            <w:r>
              <w:rPr>
                <w:rFonts w:hint="eastAsia" w:ascii="宋体" w:hAnsi="宋体" w:eastAsia="宋体" w:cs="宋体"/>
                <w:b/>
                <w:bCs/>
                <w:sz w:val="24"/>
                <w:szCs w:val="24"/>
              </w:rPr>
              <w:t>开办年份</w:t>
            </w:r>
          </w:p>
        </w:tc>
        <w:tc>
          <w:tcPr>
            <w:tcW w:w="1854" w:type="dxa"/>
            <w:noWrap w:val="0"/>
            <w:vAlign w:val="center"/>
          </w:tcPr>
          <w:p>
            <w:pPr>
              <w:snapToGrid w:val="0"/>
              <w:spacing w:before="0" w:after="0" w:line="240" w:lineRule="auto"/>
              <w:rPr>
                <w:rFonts w:hint="eastAsia" w:ascii="宋体" w:hAnsi="宋体" w:eastAsia="宋体" w:cs="宋体"/>
                <w:b/>
                <w:bCs/>
                <w:sz w:val="24"/>
                <w:szCs w:val="24"/>
              </w:rPr>
            </w:pPr>
            <w:r>
              <w:rPr>
                <w:rFonts w:hint="eastAsia" w:ascii="宋体" w:hAnsi="宋体" w:eastAsia="宋体" w:cs="宋体"/>
                <w:b/>
                <w:bCs/>
                <w:sz w:val="24"/>
                <w:szCs w:val="24"/>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restart"/>
            <w:noWrap w:val="0"/>
            <w:vAlign w:val="center"/>
          </w:tcPr>
          <w:p>
            <w:pPr>
              <w:snapToGrid w:val="0"/>
              <w:spacing w:before="0" w:after="0" w:line="240" w:lineRule="auto"/>
              <w:jc w:val="center"/>
              <w:rPr>
                <w:rFonts w:hint="eastAsia" w:ascii="宋体" w:hAnsi="宋体" w:eastAsia="宋体" w:cs="宋体"/>
                <w:sz w:val="20"/>
                <w:szCs w:val="20"/>
                <w:lang w:eastAsia="zh-CN"/>
              </w:rPr>
            </w:pPr>
            <w:r>
              <w:rPr>
                <w:rFonts w:hint="eastAsia" w:ascii="宋体" w:hAnsi="宋体" w:eastAsia="宋体" w:cs="宋体"/>
                <w:sz w:val="20"/>
                <w:szCs w:val="20"/>
              </w:rPr>
              <w:t>艺术设计</w:t>
            </w:r>
            <w:r>
              <w:rPr>
                <w:rFonts w:hint="eastAsia" w:ascii="宋体" w:hAnsi="宋体" w:eastAsia="宋体" w:cs="宋体"/>
                <w:sz w:val="20"/>
                <w:szCs w:val="20"/>
                <w:lang w:val="en-US" w:eastAsia="zh-CN"/>
              </w:rPr>
              <w:t>学院</w:t>
            </w: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kern w:val="2"/>
                <w:sz w:val="20"/>
                <w:szCs w:val="20"/>
                <w:u w:val="none"/>
                <w:lang w:val="en-US" w:eastAsia="zh-CN" w:bidi="ar-SA"/>
              </w:rPr>
            </w:pPr>
            <w:r>
              <w:rPr>
                <w:rFonts w:hint="eastAsia" w:ascii="宋体" w:hAnsi="宋体" w:eastAsia="宋体" w:cs="宋体"/>
                <w:i w:val="0"/>
                <w:iCs w:val="0"/>
                <w:color w:val="000000"/>
                <w:kern w:val="0"/>
                <w:sz w:val="20"/>
                <w:szCs w:val="20"/>
                <w:u w:val="none"/>
                <w:lang w:val="en-US" w:eastAsia="zh-CN" w:bidi="ar"/>
              </w:rPr>
              <w:t>440102</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建筑装饰工程技术</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2010</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kern w:val="2"/>
                <w:sz w:val="20"/>
                <w:szCs w:val="20"/>
                <w:u w:val="none"/>
                <w:lang w:val="en-US" w:eastAsia="zh-CN" w:bidi="ar-SA"/>
              </w:rPr>
            </w:pPr>
            <w:r>
              <w:rPr>
                <w:rFonts w:hint="eastAsia" w:ascii="宋体" w:hAnsi="宋体" w:eastAsia="宋体" w:cs="宋体"/>
                <w:i w:val="0"/>
                <w:iCs w:val="0"/>
                <w:color w:val="000000"/>
                <w:kern w:val="0"/>
                <w:sz w:val="20"/>
                <w:szCs w:val="20"/>
                <w:u w:val="none"/>
                <w:lang w:val="en-US" w:eastAsia="zh-CN" w:bidi="ar"/>
              </w:rPr>
              <w:t>550101</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艺术设计</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市级特色专业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kern w:val="2"/>
                <w:sz w:val="20"/>
                <w:szCs w:val="20"/>
                <w:u w:val="none"/>
                <w:lang w:val="en-US" w:eastAsia="zh-CN" w:bidi="ar-SA"/>
              </w:rPr>
            </w:pPr>
            <w:r>
              <w:rPr>
                <w:rFonts w:hint="eastAsia" w:ascii="宋体" w:hAnsi="宋体" w:eastAsia="宋体" w:cs="宋体"/>
                <w:i w:val="0"/>
                <w:iCs w:val="0"/>
                <w:color w:val="000000"/>
                <w:kern w:val="0"/>
                <w:sz w:val="20"/>
                <w:szCs w:val="20"/>
                <w:u w:val="none"/>
                <w:lang w:val="en-US" w:eastAsia="zh-CN" w:bidi="ar"/>
              </w:rPr>
              <w:t>510215</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动漫设计与制作</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550105</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服装设计</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2009</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460105</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工业设计</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restart"/>
            <w:noWrap w:val="0"/>
            <w:vAlign w:val="center"/>
          </w:tcPr>
          <w:p>
            <w:pPr>
              <w:snapToGrid w:val="0"/>
              <w:spacing w:before="0" w:after="0" w:line="240" w:lineRule="auto"/>
              <w:jc w:val="center"/>
              <w:rPr>
                <w:rFonts w:hint="eastAsia" w:ascii="宋体" w:hAnsi="宋体" w:eastAsia="宋体" w:cs="宋体"/>
                <w:sz w:val="20"/>
                <w:szCs w:val="20"/>
                <w:lang w:eastAsia="zh-CN"/>
              </w:rPr>
            </w:pPr>
            <w:r>
              <w:rPr>
                <w:rFonts w:hint="eastAsia" w:ascii="宋体" w:hAnsi="宋体" w:eastAsia="宋体" w:cs="宋体"/>
                <w:sz w:val="20"/>
                <w:szCs w:val="20"/>
                <w:lang w:val="en-US" w:eastAsia="zh-CN"/>
              </w:rPr>
              <w:t>现代服务学院</w:t>
            </w: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530501</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国际经济与贸易</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530302</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大数据与会计</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市级特色专业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530203</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保险实务</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2008</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530605</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市场营销</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530206</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证券实务</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2009</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530802</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现代物流管理</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2009</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570201</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商务英语</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530701</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电子商务</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2019</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540102</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导游</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2011</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500113</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高速铁路客运服务</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2019</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500405</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空中乘务</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2017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530704</w:t>
            </w:r>
          </w:p>
        </w:tc>
        <w:tc>
          <w:tcPr>
            <w:tcW w:w="270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网络营销与直播电商</w:t>
            </w:r>
          </w:p>
        </w:tc>
        <w:tc>
          <w:tcPr>
            <w:tcW w:w="128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2022</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restart"/>
            <w:noWrap w:val="0"/>
            <w:vAlign w:val="center"/>
          </w:tcPr>
          <w:p>
            <w:pPr>
              <w:snapToGrid w:val="0"/>
              <w:spacing w:before="0" w:after="0" w:line="240" w:lineRule="auto"/>
              <w:jc w:val="center"/>
              <w:rPr>
                <w:rFonts w:hint="eastAsia" w:ascii="宋体" w:hAnsi="宋体" w:eastAsia="宋体" w:cs="宋体"/>
                <w:sz w:val="20"/>
                <w:szCs w:val="20"/>
                <w:lang w:eastAsia="zh-CN"/>
              </w:rPr>
            </w:pPr>
            <w:r>
              <w:rPr>
                <w:rFonts w:hint="eastAsia" w:ascii="宋体" w:hAnsi="宋体" w:eastAsia="宋体" w:cs="宋体"/>
                <w:sz w:val="20"/>
                <w:szCs w:val="20"/>
              </w:rPr>
              <w:t>工程技术</w:t>
            </w:r>
            <w:r>
              <w:rPr>
                <w:rFonts w:hint="eastAsia" w:ascii="宋体" w:hAnsi="宋体" w:eastAsia="宋体" w:cs="宋体"/>
                <w:sz w:val="20"/>
                <w:szCs w:val="20"/>
                <w:lang w:val="en-US" w:eastAsia="zh-CN"/>
              </w:rPr>
              <w:t>学院</w:t>
            </w: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440301</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建筑工程技术</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2011</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440502</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建筑工程管理</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2011</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460301</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机电一体化技术</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2008</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校级重点建设专业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510201</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计算机应用技术</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校级重点建设专业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510103</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应用电子技术</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2008</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510202</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计算机网络技术</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2007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500409</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飞机机电设备维修</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2017</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460101</w:t>
            </w:r>
          </w:p>
        </w:tc>
        <w:tc>
          <w:tcPr>
            <w:tcW w:w="2707"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机械设计与制造</w:t>
            </w:r>
          </w:p>
        </w:tc>
        <w:tc>
          <w:tcPr>
            <w:tcW w:w="128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2019</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rPr>
            </w:pPr>
            <w:r>
              <w:rPr>
                <w:rFonts w:hint="eastAsia" w:ascii="宋体" w:hAnsi="宋体" w:eastAsia="宋体" w:cs="宋体"/>
                <w:i w:val="0"/>
                <w:iCs w:val="0"/>
                <w:color w:val="000000"/>
                <w:kern w:val="0"/>
                <w:sz w:val="20"/>
                <w:szCs w:val="20"/>
                <w:u w:val="none"/>
                <w:lang w:val="en-US" w:eastAsia="zh-CN" w:bidi="ar"/>
              </w:rPr>
              <w:t>510401</w:t>
            </w:r>
          </w:p>
        </w:tc>
        <w:tc>
          <w:tcPr>
            <w:tcW w:w="2707" w:type="dxa"/>
            <w:noWrap w:val="0"/>
            <w:vAlign w:val="center"/>
          </w:tcPr>
          <w:p>
            <w:pPr>
              <w:keepNext w:val="0"/>
              <w:keepLines w:val="0"/>
              <w:widowControl/>
              <w:suppressLineNumbers w:val="0"/>
              <w:spacing w:line="240" w:lineRule="auto"/>
              <w:jc w:val="center"/>
              <w:rPr>
                <w:rFonts w:hint="eastAsia" w:ascii="宋体" w:hAnsi="宋体" w:eastAsia="宋体" w:cs="宋体"/>
                <w:sz w:val="20"/>
                <w:szCs w:val="20"/>
              </w:rPr>
            </w:pPr>
            <w:r>
              <w:rPr>
                <w:rFonts w:hint="eastAsia" w:ascii="宋体" w:hAnsi="宋体" w:eastAsia="宋体" w:cs="宋体"/>
                <w:color w:val="000000"/>
                <w:kern w:val="0"/>
                <w:sz w:val="20"/>
                <w:szCs w:val="20"/>
                <w:lang w:val="en-US" w:eastAsia="zh-CN" w:bidi="ar"/>
              </w:rPr>
              <w:t>集成电路技术</w:t>
            </w:r>
          </w:p>
          <w:p>
            <w:pPr>
              <w:snapToGrid w:val="0"/>
              <w:spacing w:before="0" w:after="0" w:line="240" w:lineRule="auto"/>
              <w:jc w:val="center"/>
              <w:rPr>
                <w:rFonts w:hint="eastAsia" w:ascii="宋体" w:hAnsi="宋体" w:eastAsia="宋体" w:cs="宋体"/>
                <w:sz w:val="20"/>
                <w:szCs w:val="20"/>
              </w:rPr>
            </w:pPr>
          </w:p>
        </w:tc>
        <w:tc>
          <w:tcPr>
            <w:tcW w:w="128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2022</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restart"/>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康养护理学院</w:t>
            </w: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lang w:val="en-US" w:eastAsia="zh-CN"/>
              </w:rPr>
            </w:pPr>
            <w:r>
              <w:rPr>
                <w:rFonts w:hint="eastAsia" w:ascii="宋体" w:hAnsi="宋体" w:eastAsia="宋体" w:cs="宋体"/>
                <w:i w:val="0"/>
                <w:iCs w:val="0"/>
                <w:color w:val="000000"/>
                <w:kern w:val="0"/>
                <w:sz w:val="20"/>
                <w:szCs w:val="20"/>
                <w:u w:val="none"/>
                <w:lang w:val="en-US" w:eastAsia="zh-CN" w:bidi="ar"/>
              </w:rPr>
              <w:t>520201</w:t>
            </w:r>
          </w:p>
        </w:tc>
        <w:tc>
          <w:tcPr>
            <w:tcW w:w="2707"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护理</w:t>
            </w:r>
          </w:p>
        </w:tc>
        <w:tc>
          <w:tcPr>
            <w:tcW w:w="128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2021</w:t>
            </w:r>
          </w:p>
        </w:tc>
        <w:tc>
          <w:tcPr>
            <w:tcW w:w="1854"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rPr>
              <w:t>校级重点建设</w:t>
            </w:r>
            <w:r>
              <w:rPr>
                <w:rFonts w:hint="eastAsia" w:ascii="宋体" w:hAnsi="宋体" w:eastAsia="宋体" w:cs="宋体"/>
                <w:sz w:val="20"/>
                <w:szCs w:val="20"/>
                <w:lang w:val="en-US" w:eastAsia="zh-CN"/>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lang w:val="en-US" w:eastAsia="zh-CN"/>
              </w:rPr>
            </w:pPr>
            <w:r>
              <w:rPr>
                <w:rFonts w:hint="eastAsia" w:ascii="宋体" w:hAnsi="宋体" w:eastAsia="宋体" w:cs="宋体"/>
                <w:i w:val="0"/>
                <w:iCs w:val="0"/>
                <w:color w:val="000000"/>
                <w:kern w:val="0"/>
                <w:sz w:val="20"/>
                <w:szCs w:val="20"/>
                <w:u w:val="none"/>
                <w:lang w:val="en-US" w:eastAsia="zh-CN" w:bidi="ar"/>
              </w:rPr>
              <w:t>520802</w:t>
            </w:r>
          </w:p>
        </w:tc>
        <w:tc>
          <w:tcPr>
            <w:tcW w:w="2707"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婴幼儿托育服务与管理</w:t>
            </w:r>
          </w:p>
        </w:tc>
        <w:tc>
          <w:tcPr>
            <w:tcW w:w="128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2021</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1704" w:type="dxa"/>
            <w:vMerge w:val="continue"/>
            <w:noWrap w:val="0"/>
            <w:vAlign w:val="center"/>
          </w:tcPr>
          <w:p>
            <w:pPr>
              <w:snapToGrid w:val="0"/>
              <w:spacing w:before="0" w:after="0" w:line="240" w:lineRule="auto"/>
              <w:jc w:val="center"/>
              <w:rPr>
                <w:rFonts w:hint="eastAsia" w:ascii="宋体" w:hAnsi="宋体" w:eastAsia="宋体" w:cs="宋体"/>
                <w:sz w:val="20"/>
                <w:szCs w:val="20"/>
              </w:rPr>
            </w:pPr>
          </w:p>
        </w:tc>
        <w:tc>
          <w:tcPr>
            <w:tcW w:w="1247"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sz w:val="20"/>
                <w:szCs w:val="20"/>
                <w:lang w:val="en-US" w:eastAsia="zh-CN"/>
              </w:rPr>
            </w:pPr>
            <w:r>
              <w:rPr>
                <w:rFonts w:hint="eastAsia" w:ascii="宋体" w:hAnsi="宋体" w:eastAsia="宋体" w:cs="宋体"/>
                <w:i w:val="0"/>
                <w:iCs w:val="0"/>
                <w:color w:val="000000"/>
                <w:kern w:val="0"/>
                <w:sz w:val="20"/>
                <w:szCs w:val="20"/>
                <w:u w:val="none"/>
                <w:lang w:val="en-US" w:eastAsia="zh-CN" w:bidi="ar"/>
              </w:rPr>
              <w:t>590302</w:t>
            </w:r>
          </w:p>
        </w:tc>
        <w:tc>
          <w:tcPr>
            <w:tcW w:w="2707" w:type="dxa"/>
            <w:noWrap w:val="0"/>
            <w:vAlign w:val="center"/>
          </w:tcPr>
          <w:p>
            <w:pPr>
              <w:keepNext w:val="0"/>
              <w:keepLines w:val="0"/>
              <w:widowControl/>
              <w:suppressLineNumbers w:val="0"/>
              <w:spacing w:line="240" w:lineRule="auto"/>
              <w:jc w:val="center"/>
              <w:rPr>
                <w:rFonts w:hint="eastAsia" w:ascii="宋体" w:hAnsi="宋体" w:eastAsia="宋体" w:cs="宋体"/>
                <w:sz w:val="20"/>
                <w:szCs w:val="20"/>
              </w:rPr>
            </w:pPr>
            <w:r>
              <w:rPr>
                <w:rFonts w:hint="eastAsia" w:ascii="宋体" w:hAnsi="宋体" w:eastAsia="宋体" w:cs="宋体"/>
                <w:color w:val="000000"/>
                <w:kern w:val="0"/>
                <w:sz w:val="20"/>
                <w:szCs w:val="20"/>
                <w:lang w:val="en-US" w:eastAsia="zh-CN" w:bidi="ar"/>
              </w:rPr>
              <w:t>智慧健康养老服务与管</w:t>
            </w:r>
          </w:p>
          <w:p>
            <w:pPr>
              <w:keepNext w:val="0"/>
              <w:keepLines w:val="0"/>
              <w:widowControl/>
              <w:suppressLineNumbers w:val="0"/>
              <w:spacing w:line="240" w:lineRule="auto"/>
              <w:jc w:val="center"/>
              <w:rPr>
                <w:rFonts w:hint="eastAsia" w:ascii="宋体" w:hAnsi="宋体" w:eastAsia="宋体" w:cs="宋体"/>
                <w:sz w:val="20"/>
                <w:szCs w:val="20"/>
              </w:rPr>
            </w:pPr>
            <w:r>
              <w:rPr>
                <w:rFonts w:hint="eastAsia" w:ascii="宋体" w:hAnsi="宋体" w:eastAsia="宋体" w:cs="宋体"/>
                <w:color w:val="000000"/>
                <w:kern w:val="0"/>
                <w:sz w:val="20"/>
                <w:szCs w:val="20"/>
                <w:lang w:val="en-US" w:eastAsia="zh-CN" w:bidi="ar"/>
              </w:rPr>
              <w:t>理</w:t>
            </w:r>
          </w:p>
          <w:p>
            <w:pPr>
              <w:snapToGrid w:val="0"/>
              <w:spacing w:before="0" w:after="0" w:line="240" w:lineRule="auto"/>
              <w:jc w:val="center"/>
              <w:rPr>
                <w:rFonts w:hint="eastAsia" w:ascii="宋体" w:hAnsi="宋体" w:eastAsia="宋体" w:cs="宋体"/>
                <w:sz w:val="20"/>
                <w:szCs w:val="20"/>
                <w:lang w:val="en-US" w:eastAsia="zh-CN"/>
              </w:rPr>
            </w:pPr>
          </w:p>
        </w:tc>
        <w:tc>
          <w:tcPr>
            <w:tcW w:w="128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2022</w:t>
            </w:r>
          </w:p>
        </w:tc>
        <w:tc>
          <w:tcPr>
            <w:tcW w:w="1854" w:type="dxa"/>
            <w:noWrap w:val="0"/>
            <w:vAlign w:val="center"/>
          </w:tcPr>
          <w:p>
            <w:pPr>
              <w:snapToGrid w:val="0"/>
              <w:spacing w:before="0" w:after="0" w:line="240" w:lineRule="auto"/>
              <w:jc w:val="center"/>
              <w:rPr>
                <w:rFonts w:hint="eastAsia" w:ascii="宋体" w:hAnsi="宋体" w:eastAsia="宋体" w:cs="宋体"/>
                <w:sz w:val="20"/>
                <w:szCs w:val="20"/>
              </w:rPr>
            </w:pPr>
          </w:p>
        </w:tc>
      </w:tr>
    </w:tbl>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为贯彻落实《国家教育改革实施方案》（国办发〔2019〕4号）和《省委办公厅 省政府办公厅关于推动现代职业教育高质量发展实施意见的通知》（苏办发〔2022〕5号）要求，发挥两校的优势，培养创新型、复合型和技能型高素质人才，根据省教育厅《关于做好2023年现代职业教育体系贯通培养项目的通知》（苏教职〔2023〕7号）精神，经学校与无锡太湖学院友好协商，决定合作开展江苏省现代职教体系高职本科“3+2”分段培养项目。</w:t>
      </w:r>
    </w:p>
    <w:tbl>
      <w:tblPr>
        <w:tblStyle w:val="14"/>
        <w:tblpPr w:leftFromText="180" w:rightFromText="180" w:vertAnchor="text" w:horzAnchor="page" w:tblpX="1995" w:tblpY="110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8"/>
        <w:gridCol w:w="3855"/>
        <w:gridCol w:w="1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8" w:type="dxa"/>
          </w:tcPr>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eastAsia" w:ascii="宋体" w:hAnsi="宋体" w:cs="宋体"/>
                <w:b/>
                <w:bCs/>
                <w:sz w:val="20"/>
                <w:szCs w:val="20"/>
                <w:vertAlign w:val="baseline"/>
                <w:lang w:val="en-US" w:eastAsia="zh-CN"/>
              </w:rPr>
            </w:pPr>
            <w:r>
              <w:rPr>
                <w:rFonts w:hint="eastAsia" w:ascii="宋体" w:hAnsi="宋体" w:cs="宋体"/>
                <w:b/>
                <w:bCs/>
                <w:sz w:val="20"/>
                <w:szCs w:val="20"/>
                <w:vertAlign w:val="baseline"/>
                <w:lang w:val="en-US" w:eastAsia="zh-CN"/>
              </w:rPr>
              <w:t>本科专业</w:t>
            </w:r>
          </w:p>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default" w:ascii="宋体" w:hAnsi="宋体" w:cs="宋体"/>
                <w:b/>
                <w:bCs/>
                <w:sz w:val="20"/>
                <w:szCs w:val="20"/>
                <w:vertAlign w:val="baseline"/>
                <w:lang w:val="en-US" w:eastAsia="zh-CN"/>
              </w:rPr>
            </w:pPr>
            <w:r>
              <w:rPr>
                <w:rFonts w:hint="eastAsia" w:ascii="宋体" w:hAnsi="宋体" w:cs="宋体"/>
                <w:b/>
                <w:bCs/>
                <w:sz w:val="20"/>
                <w:szCs w:val="20"/>
                <w:vertAlign w:val="baseline"/>
                <w:lang w:val="en-US" w:eastAsia="zh-CN"/>
              </w:rPr>
              <w:t>（无锡太湖学院）</w:t>
            </w:r>
          </w:p>
        </w:tc>
        <w:tc>
          <w:tcPr>
            <w:tcW w:w="3855" w:type="dxa"/>
          </w:tcPr>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eastAsia" w:ascii="宋体" w:hAnsi="宋体" w:cs="宋体"/>
                <w:b/>
                <w:bCs/>
                <w:sz w:val="20"/>
                <w:szCs w:val="20"/>
                <w:vertAlign w:val="baseline"/>
                <w:lang w:val="en-US" w:eastAsia="zh-CN"/>
              </w:rPr>
            </w:pPr>
            <w:r>
              <w:rPr>
                <w:rFonts w:hint="eastAsia" w:ascii="宋体" w:hAnsi="宋体" w:cs="宋体"/>
                <w:b/>
                <w:bCs/>
                <w:sz w:val="20"/>
                <w:szCs w:val="20"/>
                <w:vertAlign w:val="baseline"/>
                <w:lang w:val="en-US" w:eastAsia="zh-CN"/>
              </w:rPr>
              <w:t>高职专业</w:t>
            </w:r>
          </w:p>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default" w:ascii="宋体" w:hAnsi="宋体" w:cs="宋体"/>
                <w:b/>
                <w:bCs/>
                <w:sz w:val="20"/>
                <w:szCs w:val="20"/>
                <w:vertAlign w:val="baseline"/>
                <w:lang w:val="en-US" w:eastAsia="zh-CN"/>
              </w:rPr>
            </w:pPr>
            <w:r>
              <w:rPr>
                <w:rFonts w:hint="eastAsia" w:ascii="宋体" w:hAnsi="宋体" w:cs="宋体"/>
                <w:b/>
                <w:bCs/>
                <w:sz w:val="20"/>
                <w:szCs w:val="20"/>
                <w:vertAlign w:val="baseline"/>
                <w:lang w:val="en-US" w:eastAsia="zh-CN"/>
              </w:rPr>
              <w:t>（太湖创意职业技术学院）</w:t>
            </w:r>
          </w:p>
        </w:tc>
        <w:tc>
          <w:tcPr>
            <w:tcW w:w="1466" w:type="dxa"/>
          </w:tcPr>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default" w:ascii="宋体" w:hAnsi="宋体" w:cs="宋体"/>
                <w:b/>
                <w:bCs/>
                <w:sz w:val="20"/>
                <w:szCs w:val="20"/>
                <w:vertAlign w:val="baseline"/>
                <w:lang w:val="en-US" w:eastAsia="zh-CN"/>
              </w:rPr>
            </w:pPr>
            <w:r>
              <w:rPr>
                <w:rFonts w:hint="eastAsia" w:ascii="宋体" w:hAnsi="宋体" w:cs="宋体"/>
                <w:b/>
                <w:bCs/>
                <w:sz w:val="20"/>
                <w:szCs w:val="20"/>
                <w:vertAlign w:val="baseline"/>
                <w:lang w:val="en-US" w:eastAsia="zh-CN"/>
              </w:rPr>
              <w:t>招生计划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8" w:type="dxa"/>
          </w:tcPr>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会计学</w:t>
            </w:r>
          </w:p>
        </w:tc>
        <w:tc>
          <w:tcPr>
            <w:tcW w:w="3855" w:type="dxa"/>
          </w:tcPr>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大数据与会计</w:t>
            </w:r>
          </w:p>
        </w:tc>
        <w:tc>
          <w:tcPr>
            <w:tcW w:w="1466" w:type="dxa"/>
          </w:tcPr>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100人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8" w:type="dxa"/>
          </w:tcPr>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护理学</w:t>
            </w:r>
          </w:p>
        </w:tc>
        <w:tc>
          <w:tcPr>
            <w:tcW w:w="3855" w:type="dxa"/>
          </w:tcPr>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护理</w:t>
            </w:r>
          </w:p>
        </w:tc>
        <w:tc>
          <w:tcPr>
            <w:tcW w:w="1466" w:type="dxa"/>
          </w:tcPr>
          <w:p>
            <w:pPr>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40人</w:t>
            </w:r>
          </w:p>
        </w:tc>
      </w:tr>
    </w:tbl>
    <w:p>
      <w:pPr>
        <w:pStyle w:val="6"/>
        <w:jc w:val="center"/>
        <w:rPr>
          <w:rFonts w:hint="eastAsia" w:eastAsia="宋体"/>
          <w:lang w:eastAsia="zh-CN"/>
        </w:rPr>
      </w:pPr>
      <w:bookmarkStart w:id="9" w:name="_Toc11384"/>
      <w:r>
        <w:t xml:space="preserve">表 </w:t>
      </w:r>
      <w:r>
        <w:fldChar w:fldCharType="begin"/>
      </w:r>
      <w:r>
        <w:instrText xml:space="preserve"> SEQ 表 \* ARABIC </w:instrText>
      </w:r>
      <w:r>
        <w:fldChar w:fldCharType="separate"/>
      </w:r>
      <w:r>
        <w:t>3</w:t>
      </w:r>
      <w:r>
        <w:fldChar w:fldCharType="end"/>
      </w:r>
      <w:bookmarkStart w:id="10" w:name="_Toc11526"/>
      <w:bookmarkStart w:id="11" w:name="_Toc6896"/>
      <w:r>
        <w:rPr>
          <w:rFonts w:hint="eastAsia"/>
          <w:lang w:eastAsia="zh-CN"/>
        </w:rPr>
        <w:t xml:space="preserve">  贯通培养项目专业招生计划表</w:t>
      </w:r>
      <w:bookmarkEnd w:id="9"/>
      <w:bookmarkEnd w:id="10"/>
      <w:bookmarkEnd w:id="11"/>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rPr>
        <w:t>今年3+2专业</w:t>
      </w:r>
      <w:r>
        <w:rPr>
          <w:rFonts w:hint="eastAsia" w:ascii="宋体" w:hAnsi="宋体" w:cs="宋体"/>
          <w:sz w:val="28"/>
          <w:szCs w:val="28"/>
          <w:lang w:val="en-US" w:eastAsia="zh-CN"/>
        </w:rPr>
        <w:t>依然有很强的竞争力，一次投档完成140个计划，历史类最低录取450分，物理类录取最低439。</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lang w:val="en-US" w:eastAsia="zh-CN"/>
        </w:rPr>
        <w:t>学院各专业课程建设以学习者为中心、以校企联合开发为途径、以职业岗位要求为依据、以工作过程为导向、以真实项目为载体，构建“工学训”一体化、立体式课程体系。2022-2023学年全院开设课程总数239门、课时总数71452学时。其中，A类课程（理论课）97门，B类课程（理论+实践课）126门、C 类课程（实践课）16门，B、C类课程占开设课程总数59.41%，开设选修课10门。</w:t>
      </w:r>
    </w:p>
    <w:p>
      <w:pPr>
        <w:pStyle w:val="6"/>
        <w:jc w:val="center"/>
        <w:rPr>
          <w:rFonts w:hint="eastAsia" w:eastAsia="宋体"/>
          <w:lang w:eastAsia="zh-CN"/>
        </w:rPr>
      </w:pPr>
      <w:bookmarkStart w:id="12" w:name="_Toc16981"/>
      <w:r>
        <w:t xml:space="preserve">表 </w:t>
      </w:r>
      <w:r>
        <w:fldChar w:fldCharType="begin"/>
      </w:r>
      <w:r>
        <w:instrText xml:space="preserve"> SEQ 表 \* ARABIC </w:instrText>
      </w:r>
      <w:r>
        <w:fldChar w:fldCharType="separate"/>
      </w:r>
      <w:r>
        <w:t>4</w:t>
      </w:r>
      <w:r>
        <w:fldChar w:fldCharType="end"/>
      </w:r>
      <w:bookmarkStart w:id="13" w:name="_Toc16920"/>
      <w:bookmarkStart w:id="14" w:name="_Toc32319"/>
      <w:r>
        <w:rPr>
          <w:rFonts w:hint="eastAsia"/>
          <w:lang w:eastAsia="zh-CN"/>
        </w:rPr>
        <w:t xml:space="preserve">  课程建设情况统计表</w:t>
      </w:r>
      <w:bookmarkEnd w:id="12"/>
      <w:bookmarkEnd w:id="13"/>
      <w:bookmarkEnd w:id="14"/>
    </w:p>
    <w:tbl>
      <w:tblPr>
        <w:tblStyle w:val="13"/>
        <w:tblW w:w="92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3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0" w:type="dxa"/>
            <w:noWrap w:val="0"/>
            <w:vAlign w:val="center"/>
          </w:tcPr>
          <w:p>
            <w:pPr>
              <w:snapToGrid w:val="0"/>
              <w:spacing w:before="0" w:after="0" w:line="240" w:lineRule="auto"/>
              <w:rPr>
                <w:rFonts w:hint="eastAsia" w:ascii="宋体" w:hAnsi="宋体" w:cs="宋体"/>
                <w:b/>
                <w:bCs/>
              </w:rPr>
            </w:pPr>
            <w:r>
              <w:rPr>
                <w:rFonts w:hint="eastAsia" w:ascii="宋体" w:hAnsi="宋体" w:cs="宋体"/>
                <w:b/>
                <w:bCs/>
              </w:rPr>
              <w:t>课 程 类 型</w:t>
            </w:r>
          </w:p>
        </w:tc>
        <w:tc>
          <w:tcPr>
            <w:tcW w:w="2841" w:type="dxa"/>
            <w:noWrap w:val="0"/>
            <w:vAlign w:val="center"/>
          </w:tcPr>
          <w:p>
            <w:pPr>
              <w:snapToGrid w:val="0"/>
              <w:spacing w:before="0" w:after="0" w:line="240" w:lineRule="auto"/>
              <w:rPr>
                <w:rFonts w:hint="eastAsia" w:ascii="宋体" w:hAnsi="宋体" w:cs="宋体"/>
                <w:b/>
                <w:bCs/>
              </w:rPr>
            </w:pPr>
            <w:r>
              <w:rPr>
                <w:rFonts w:hint="eastAsia" w:ascii="宋体" w:hAnsi="宋体" w:cs="宋体"/>
                <w:b/>
                <w:bCs/>
              </w:rPr>
              <w:t>学  时</w:t>
            </w:r>
          </w:p>
        </w:tc>
        <w:tc>
          <w:tcPr>
            <w:tcW w:w="3599" w:type="dxa"/>
            <w:noWrap w:val="0"/>
            <w:vAlign w:val="center"/>
          </w:tcPr>
          <w:p>
            <w:pPr>
              <w:snapToGrid w:val="0"/>
              <w:spacing w:before="0" w:after="0" w:line="240" w:lineRule="auto"/>
              <w:rPr>
                <w:rFonts w:hint="eastAsia" w:ascii="宋体" w:hAnsi="宋体" w:cs="宋体"/>
                <w:b/>
                <w:bCs/>
              </w:rPr>
            </w:pPr>
            <w:r>
              <w:rPr>
                <w:rFonts w:hint="eastAsia" w:ascii="宋体" w:hAnsi="宋体" w:cs="宋体"/>
                <w:b/>
                <w:bCs/>
              </w:rPr>
              <w:t>占总学时的比例（%）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0" w:type="dxa"/>
            <w:noWrap w:val="0"/>
            <w:vAlign w:val="center"/>
          </w:tcPr>
          <w:p>
            <w:pPr>
              <w:snapToGrid w:val="0"/>
              <w:spacing w:before="0" w:after="0" w:line="240" w:lineRule="auto"/>
              <w:rPr>
                <w:rFonts w:hint="eastAsia" w:ascii="宋体" w:hAnsi="宋体" w:cs="宋体"/>
              </w:rPr>
            </w:pPr>
            <w:r>
              <w:rPr>
                <w:rFonts w:hint="eastAsia" w:ascii="宋体" w:hAnsi="宋体" w:cs="宋体"/>
              </w:rPr>
              <w:t>理论课（A类）</w:t>
            </w:r>
          </w:p>
        </w:tc>
        <w:tc>
          <w:tcPr>
            <w:tcW w:w="2841" w:type="dxa"/>
            <w:noWrap w:val="0"/>
            <w:vAlign w:val="center"/>
          </w:tcPr>
          <w:p>
            <w:pPr>
              <w:snapToGrid w:val="0"/>
              <w:spacing w:before="0" w:after="0" w:line="240" w:lineRule="auto"/>
              <w:rPr>
                <w:rFonts w:hint="default" w:ascii="宋体" w:hAnsi="宋体" w:cs="宋体"/>
                <w:lang w:val="en-US" w:eastAsia="zh-CN"/>
              </w:rPr>
            </w:pPr>
            <w:r>
              <w:rPr>
                <w:rFonts w:hint="eastAsia" w:ascii="宋体" w:hAnsi="宋体" w:cs="宋体"/>
                <w:lang w:val="en-US" w:eastAsia="zh-CN"/>
              </w:rPr>
              <w:t>32244</w:t>
            </w:r>
          </w:p>
        </w:tc>
        <w:tc>
          <w:tcPr>
            <w:tcW w:w="3599" w:type="dxa"/>
            <w:noWrap w:val="0"/>
            <w:vAlign w:val="center"/>
          </w:tcPr>
          <w:p>
            <w:pPr>
              <w:snapToGrid w:val="0"/>
              <w:spacing w:before="0" w:after="0" w:line="240" w:lineRule="auto"/>
              <w:rPr>
                <w:rFonts w:hint="default" w:ascii="宋体" w:hAnsi="宋体" w:cs="宋体"/>
                <w:lang w:val="en-US" w:eastAsia="zh-CN"/>
              </w:rPr>
            </w:pPr>
            <w:r>
              <w:rPr>
                <w:rFonts w:hint="eastAsia" w:ascii="宋体" w:hAnsi="宋体" w:cs="宋体"/>
                <w:lang w:val="en-US" w:eastAsia="zh-CN"/>
              </w:rPr>
              <w:t>45.13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0" w:type="dxa"/>
            <w:noWrap w:val="0"/>
            <w:vAlign w:val="center"/>
          </w:tcPr>
          <w:p>
            <w:pPr>
              <w:snapToGrid w:val="0"/>
              <w:spacing w:before="0" w:after="0" w:line="240" w:lineRule="auto"/>
              <w:rPr>
                <w:rFonts w:hint="eastAsia" w:ascii="宋体" w:hAnsi="宋体" w:cs="宋体"/>
              </w:rPr>
            </w:pPr>
            <w:r>
              <w:rPr>
                <w:rFonts w:hint="eastAsia" w:ascii="宋体" w:hAnsi="宋体" w:cs="宋体"/>
              </w:rPr>
              <w:t>理论+实践课（B类）</w:t>
            </w:r>
          </w:p>
        </w:tc>
        <w:tc>
          <w:tcPr>
            <w:tcW w:w="2841" w:type="dxa"/>
            <w:noWrap w:val="0"/>
            <w:vAlign w:val="center"/>
          </w:tcPr>
          <w:p>
            <w:pPr>
              <w:snapToGrid w:val="0"/>
              <w:spacing w:before="0" w:after="0" w:line="240" w:lineRule="auto"/>
              <w:rPr>
                <w:rFonts w:hint="default" w:ascii="宋体" w:hAnsi="宋体" w:cs="宋体"/>
                <w:lang w:val="en-US" w:eastAsia="zh-CN"/>
              </w:rPr>
            </w:pPr>
            <w:r>
              <w:rPr>
                <w:rFonts w:hint="eastAsia" w:ascii="宋体" w:hAnsi="宋体" w:cs="宋体"/>
                <w:lang w:val="en-US" w:eastAsia="zh-CN"/>
              </w:rPr>
              <w:t>27748</w:t>
            </w:r>
          </w:p>
        </w:tc>
        <w:tc>
          <w:tcPr>
            <w:tcW w:w="3599" w:type="dxa"/>
            <w:noWrap w:val="0"/>
            <w:vAlign w:val="center"/>
          </w:tcPr>
          <w:p>
            <w:pPr>
              <w:snapToGrid w:val="0"/>
              <w:spacing w:before="0" w:after="0" w:line="240" w:lineRule="auto"/>
              <w:rPr>
                <w:rFonts w:hint="default" w:ascii="宋体" w:hAnsi="宋体" w:cs="宋体"/>
                <w:lang w:val="en-US" w:eastAsia="zh-CN"/>
              </w:rPr>
            </w:pPr>
            <w:r>
              <w:rPr>
                <w:rFonts w:hint="eastAsia" w:ascii="宋体" w:hAnsi="宋体" w:cs="宋体"/>
                <w:lang w:val="en-US" w:eastAsia="zh-CN"/>
              </w:rPr>
              <w:t>38.83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0" w:type="dxa"/>
            <w:noWrap w:val="0"/>
            <w:vAlign w:val="center"/>
          </w:tcPr>
          <w:p>
            <w:pPr>
              <w:snapToGrid w:val="0"/>
              <w:spacing w:before="0" w:after="0" w:line="240" w:lineRule="auto"/>
              <w:rPr>
                <w:rFonts w:hint="eastAsia" w:ascii="宋体" w:hAnsi="宋体" w:cs="宋体"/>
              </w:rPr>
            </w:pPr>
            <w:r>
              <w:rPr>
                <w:rFonts w:hint="eastAsia" w:ascii="宋体" w:hAnsi="宋体" w:cs="宋体"/>
              </w:rPr>
              <w:t>实践课（C类）</w:t>
            </w:r>
          </w:p>
        </w:tc>
        <w:tc>
          <w:tcPr>
            <w:tcW w:w="2841" w:type="dxa"/>
            <w:noWrap w:val="0"/>
            <w:vAlign w:val="center"/>
          </w:tcPr>
          <w:p>
            <w:pPr>
              <w:snapToGrid w:val="0"/>
              <w:spacing w:before="0" w:after="0" w:line="240" w:lineRule="auto"/>
              <w:rPr>
                <w:rFonts w:hint="default" w:ascii="宋体" w:hAnsi="宋体" w:cs="宋体"/>
                <w:lang w:val="en-US" w:eastAsia="zh-CN"/>
              </w:rPr>
            </w:pPr>
            <w:r>
              <w:rPr>
                <w:rFonts w:hint="eastAsia" w:ascii="宋体" w:hAnsi="宋体" w:cs="宋体"/>
                <w:lang w:val="en-US" w:eastAsia="zh-CN"/>
              </w:rPr>
              <w:t>11460</w:t>
            </w:r>
          </w:p>
        </w:tc>
        <w:tc>
          <w:tcPr>
            <w:tcW w:w="3599" w:type="dxa"/>
            <w:noWrap w:val="0"/>
            <w:vAlign w:val="center"/>
          </w:tcPr>
          <w:p>
            <w:pPr>
              <w:snapToGrid w:val="0"/>
              <w:spacing w:before="0" w:after="0" w:line="240" w:lineRule="auto"/>
              <w:rPr>
                <w:rFonts w:hint="default" w:ascii="宋体" w:hAnsi="宋体" w:cs="宋体"/>
                <w:lang w:val="en-US" w:eastAsia="zh-CN"/>
              </w:rPr>
            </w:pPr>
            <w:r>
              <w:rPr>
                <w:rFonts w:hint="eastAsia" w:ascii="宋体" w:hAnsi="宋体" w:cs="宋体"/>
                <w:lang w:val="en-US" w:eastAsia="zh-CN"/>
              </w:rPr>
              <w:t>16.04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0" w:type="dxa"/>
            <w:noWrap w:val="0"/>
            <w:vAlign w:val="center"/>
          </w:tcPr>
          <w:p>
            <w:pPr>
              <w:snapToGrid w:val="0"/>
              <w:spacing w:before="0" w:after="0" w:line="240" w:lineRule="auto"/>
              <w:rPr>
                <w:rFonts w:hint="eastAsia" w:ascii="宋体" w:hAnsi="宋体" w:cs="宋体"/>
              </w:rPr>
            </w:pPr>
            <w:r>
              <w:rPr>
                <w:rFonts w:hint="eastAsia" w:ascii="宋体" w:hAnsi="宋体" w:cs="宋体"/>
              </w:rPr>
              <w:t>合计（</w:t>
            </w:r>
            <w:r>
              <w:rPr>
                <w:rFonts w:hint="eastAsia" w:ascii="宋体" w:hAnsi="宋体" w:cs="宋体"/>
                <w:lang w:val="en-US" w:eastAsia="zh-CN"/>
              </w:rPr>
              <w:t>239</w:t>
            </w:r>
            <w:r>
              <w:rPr>
                <w:rFonts w:hint="eastAsia" w:ascii="宋体" w:hAnsi="宋体" w:cs="宋体"/>
              </w:rPr>
              <w:t>门）</w:t>
            </w:r>
          </w:p>
        </w:tc>
        <w:tc>
          <w:tcPr>
            <w:tcW w:w="2841" w:type="dxa"/>
            <w:noWrap w:val="0"/>
            <w:vAlign w:val="center"/>
          </w:tcPr>
          <w:p>
            <w:pPr>
              <w:snapToGrid w:val="0"/>
              <w:spacing w:before="0" w:after="0" w:line="240" w:lineRule="auto"/>
              <w:rPr>
                <w:rFonts w:hint="default" w:ascii="宋体" w:hAnsi="宋体" w:cs="宋体"/>
                <w:lang w:val="en-US" w:eastAsia="zh-CN"/>
              </w:rPr>
            </w:pPr>
            <w:r>
              <w:rPr>
                <w:rFonts w:hint="eastAsia" w:ascii="宋体" w:hAnsi="宋体" w:cs="宋体"/>
                <w:lang w:val="en-US" w:eastAsia="zh-CN"/>
              </w:rPr>
              <w:t>71452</w:t>
            </w:r>
          </w:p>
        </w:tc>
        <w:tc>
          <w:tcPr>
            <w:tcW w:w="3599" w:type="dxa"/>
            <w:noWrap w:val="0"/>
            <w:vAlign w:val="center"/>
          </w:tcPr>
          <w:p>
            <w:pPr>
              <w:snapToGrid w:val="0"/>
              <w:spacing w:before="0" w:after="0" w:line="240" w:lineRule="auto"/>
              <w:rPr>
                <w:rFonts w:hint="eastAsia" w:ascii="宋体" w:hAnsi="宋体" w:cs="宋体"/>
              </w:rPr>
            </w:pPr>
            <w:r>
              <w:rPr>
                <w:rFonts w:hint="eastAsia" w:ascii="宋体" w:hAnsi="宋体" w:cs="宋体"/>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280" w:type="dxa"/>
            <w:gridSpan w:val="3"/>
            <w:tcBorders>
              <w:left w:val="nil"/>
              <w:bottom w:val="nil"/>
              <w:right w:val="nil"/>
            </w:tcBorders>
            <w:noWrap w:val="0"/>
            <w:vAlign w:val="top"/>
          </w:tcPr>
          <w:p>
            <w:pPr>
              <w:snapToGrid w:val="0"/>
              <w:spacing w:before="0" w:after="0" w:line="240" w:lineRule="auto"/>
              <w:jc w:val="center"/>
              <w:rPr>
                <w:rFonts w:hint="eastAsia" w:ascii="宋体" w:hAnsi="宋体" w:cs="宋体"/>
              </w:rPr>
            </w:pPr>
            <w:r>
              <w:rPr>
                <w:rFonts w:hint="eastAsia" w:ascii="宋体" w:hAnsi="宋体" w:cs="宋体"/>
              </w:rPr>
              <w:t>数据来源：太湖创意职业技术学院人才培养工作状态数据采集平台</w:t>
            </w:r>
          </w:p>
        </w:tc>
      </w:tr>
    </w:tbl>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2014年学院开展精品课程建设，至20</w:t>
      </w:r>
      <w:r>
        <w:rPr>
          <w:rFonts w:hint="default" w:ascii="宋体" w:hAnsi="宋体" w:cs="宋体"/>
          <w:sz w:val="28"/>
          <w:szCs w:val="28"/>
          <w:lang w:val="en-US" w:eastAsia="zh-CN"/>
        </w:rPr>
        <w:t>2</w:t>
      </w:r>
      <w:r>
        <w:rPr>
          <w:rFonts w:hint="eastAsia" w:ascii="宋体" w:hAnsi="宋体" w:cs="宋体"/>
          <w:sz w:val="28"/>
          <w:szCs w:val="28"/>
          <w:lang w:val="en-US" w:eastAsia="zh-CN"/>
        </w:rPr>
        <w:t>3年共设立5门精品培育课程。</w:t>
      </w:r>
    </w:p>
    <w:tbl>
      <w:tblPr>
        <w:tblStyle w:val="13"/>
        <w:tblpPr w:leftFromText="180" w:rightFromText="180" w:vertAnchor="text" w:horzAnchor="page" w:tblpX="1545" w:tblpY="1227"/>
        <w:tblOverlap w:val="never"/>
        <w:tblW w:w="91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4372"/>
        <w:gridCol w:w="3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8" w:type="dxa"/>
            <w:noWrap w:val="0"/>
            <w:vAlign w:val="top"/>
          </w:tcPr>
          <w:p>
            <w:pPr>
              <w:snapToGrid w:val="0"/>
              <w:spacing w:before="0" w:after="0" w:line="240" w:lineRule="auto"/>
              <w:jc w:val="center"/>
              <w:rPr>
                <w:rFonts w:hint="eastAsia" w:ascii="宋体" w:hAnsi="宋体" w:cs="宋体"/>
                <w:b/>
                <w:bCs/>
              </w:rPr>
            </w:pPr>
            <w:r>
              <w:rPr>
                <w:rFonts w:hint="eastAsia" w:ascii="宋体" w:hAnsi="宋体" w:cs="宋体"/>
                <w:b/>
                <w:bCs/>
              </w:rPr>
              <w:t>序号</w:t>
            </w:r>
          </w:p>
        </w:tc>
        <w:tc>
          <w:tcPr>
            <w:tcW w:w="4372" w:type="dxa"/>
            <w:noWrap w:val="0"/>
            <w:vAlign w:val="top"/>
          </w:tcPr>
          <w:p>
            <w:pPr>
              <w:snapToGrid w:val="0"/>
              <w:spacing w:before="0" w:after="0" w:line="240" w:lineRule="auto"/>
              <w:jc w:val="center"/>
              <w:rPr>
                <w:rFonts w:hint="eastAsia" w:ascii="宋体" w:hAnsi="宋体" w:cs="宋体"/>
                <w:b/>
                <w:bCs/>
              </w:rPr>
            </w:pPr>
            <w:r>
              <w:rPr>
                <w:rFonts w:hint="eastAsia" w:ascii="宋体" w:hAnsi="宋体" w:cs="宋体"/>
                <w:b/>
                <w:bCs/>
              </w:rPr>
              <w:t>课程名称</w:t>
            </w:r>
          </w:p>
        </w:tc>
        <w:tc>
          <w:tcPr>
            <w:tcW w:w="3405" w:type="dxa"/>
            <w:noWrap w:val="0"/>
            <w:vAlign w:val="top"/>
          </w:tcPr>
          <w:p>
            <w:pPr>
              <w:snapToGrid w:val="0"/>
              <w:spacing w:before="0" w:after="0" w:line="240" w:lineRule="auto"/>
              <w:jc w:val="center"/>
              <w:rPr>
                <w:rFonts w:hint="eastAsia" w:ascii="宋体" w:hAnsi="宋体" w:cs="宋体"/>
                <w:b/>
                <w:bCs/>
                <w:lang w:eastAsia="zh-CN"/>
              </w:rPr>
            </w:pPr>
            <w:r>
              <w:rPr>
                <w:rFonts w:hint="eastAsia" w:ascii="宋体" w:hAnsi="宋体" w:cs="宋体"/>
                <w:b/>
                <w:bCs/>
              </w:rPr>
              <w:t>所属</w:t>
            </w:r>
            <w:r>
              <w:rPr>
                <w:rFonts w:hint="eastAsia" w:ascii="宋体" w:hAnsi="宋体" w:cs="宋体"/>
                <w:b/>
                <w:bCs/>
                <w:lang w:val="en-US" w:eastAsia="zh-CN"/>
              </w:rPr>
              <w:t>院系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8" w:type="dxa"/>
            <w:noWrap w:val="0"/>
            <w:vAlign w:val="top"/>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rPr>
              <w:t>1</w:t>
            </w:r>
          </w:p>
        </w:tc>
        <w:tc>
          <w:tcPr>
            <w:tcW w:w="4372" w:type="dxa"/>
            <w:noWrap w:val="0"/>
            <w:vAlign w:val="top"/>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rPr>
              <w:t>数据库</w:t>
            </w:r>
          </w:p>
        </w:tc>
        <w:tc>
          <w:tcPr>
            <w:tcW w:w="3405" w:type="dxa"/>
            <w:noWrap w:val="0"/>
            <w:vAlign w:val="top"/>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rPr>
              <w:t>工程技术</w:t>
            </w:r>
            <w:r>
              <w:rPr>
                <w:rFonts w:hint="eastAsia" w:ascii="宋体" w:hAnsi="宋体" w:cs="宋体"/>
                <w:sz w:val="20"/>
                <w:szCs w:val="20"/>
                <w:lang w:val="en-US" w:eastAsia="zh-CN"/>
              </w:rPr>
              <w:t>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8" w:type="dxa"/>
            <w:noWrap w:val="0"/>
            <w:vAlign w:val="top"/>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rPr>
              <w:t>2</w:t>
            </w:r>
          </w:p>
        </w:tc>
        <w:tc>
          <w:tcPr>
            <w:tcW w:w="4372" w:type="dxa"/>
            <w:noWrap w:val="0"/>
            <w:vAlign w:val="top"/>
          </w:tcPr>
          <w:p>
            <w:pPr>
              <w:snapToGrid w:val="0"/>
              <w:spacing w:before="0" w:after="0" w:line="240" w:lineRule="auto"/>
              <w:jc w:val="center"/>
              <w:rPr>
                <w:rFonts w:hint="eastAsia" w:ascii="宋体" w:hAnsi="宋体" w:eastAsia="宋体" w:cs="宋体"/>
                <w:kern w:val="2"/>
                <w:sz w:val="20"/>
                <w:szCs w:val="20"/>
                <w:lang w:val="en-US" w:eastAsia="zh-CN" w:bidi="ar-SA"/>
              </w:rPr>
            </w:pPr>
            <w:r>
              <w:rPr>
                <w:rFonts w:hint="eastAsia" w:ascii="宋体" w:hAnsi="宋体" w:cs="宋体"/>
                <w:sz w:val="20"/>
                <w:szCs w:val="20"/>
              </w:rPr>
              <w:t>单片机原理</w:t>
            </w:r>
          </w:p>
        </w:tc>
        <w:tc>
          <w:tcPr>
            <w:tcW w:w="3405" w:type="dxa"/>
            <w:noWrap w:val="0"/>
            <w:vAlign w:val="top"/>
          </w:tcPr>
          <w:p>
            <w:pPr>
              <w:snapToGrid w:val="0"/>
              <w:spacing w:before="0" w:after="0" w:line="240" w:lineRule="auto"/>
              <w:jc w:val="center"/>
              <w:rPr>
                <w:rFonts w:hint="eastAsia" w:ascii="宋体" w:hAnsi="宋体" w:eastAsia="宋体" w:cs="宋体"/>
                <w:kern w:val="2"/>
                <w:sz w:val="20"/>
                <w:szCs w:val="20"/>
                <w:lang w:val="en-US" w:eastAsia="zh-CN" w:bidi="ar-SA"/>
              </w:rPr>
            </w:pPr>
            <w:r>
              <w:rPr>
                <w:rFonts w:hint="eastAsia" w:ascii="宋体" w:hAnsi="宋体" w:cs="宋体"/>
                <w:sz w:val="20"/>
                <w:szCs w:val="20"/>
              </w:rPr>
              <w:t>工程技术</w:t>
            </w:r>
            <w:r>
              <w:rPr>
                <w:rFonts w:hint="eastAsia" w:ascii="宋体" w:hAnsi="宋体" w:cs="宋体"/>
                <w:sz w:val="20"/>
                <w:szCs w:val="20"/>
                <w:lang w:val="en-US" w:eastAsia="zh-CN"/>
              </w:rPr>
              <w:t>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8" w:type="dxa"/>
            <w:noWrap w:val="0"/>
            <w:vAlign w:val="top"/>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rPr>
              <w:t>3</w:t>
            </w:r>
          </w:p>
        </w:tc>
        <w:tc>
          <w:tcPr>
            <w:tcW w:w="4372" w:type="dxa"/>
            <w:noWrap w:val="0"/>
            <w:vAlign w:val="top"/>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rPr>
              <w:t>大学英语</w:t>
            </w:r>
          </w:p>
        </w:tc>
        <w:tc>
          <w:tcPr>
            <w:tcW w:w="3405" w:type="dxa"/>
            <w:noWrap w:val="0"/>
            <w:vAlign w:val="top"/>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lang w:val="en-US" w:eastAsia="zh-CN"/>
              </w:rPr>
              <w:t>现代服务学院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8" w:type="dxa"/>
            <w:noWrap w:val="0"/>
            <w:vAlign w:val="top"/>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rPr>
              <w:t>4</w:t>
            </w:r>
          </w:p>
        </w:tc>
        <w:tc>
          <w:tcPr>
            <w:tcW w:w="4372" w:type="dxa"/>
            <w:noWrap w:val="0"/>
            <w:vAlign w:val="top"/>
          </w:tcPr>
          <w:p>
            <w:pPr>
              <w:snapToGrid w:val="0"/>
              <w:spacing w:before="0" w:after="0" w:line="240" w:lineRule="auto"/>
              <w:jc w:val="center"/>
              <w:rPr>
                <w:rFonts w:hint="eastAsia" w:ascii="宋体" w:hAnsi="宋体" w:eastAsia="宋体" w:cs="宋体"/>
                <w:kern w:val="2"/>
                <w:sz w:val="20"/>
                <w:szCs w:val="20"/>
                <w:lang w:val="en-US" w:eastAsia="zh-CN" w:bidi="ar-SA"/>
              </w:rPr>
            </w:pPr>
            <w:r>
              <w:rPr>
                <w:rFonts w:hint="eastAsia" w:ascii="宋体" w:hAnsi="宋体" w:cs="宋体"/>
                <w:sz w:val="20"/>
                <w:szCs w:val="20"/>
              </w:rPr>
              <w:t>会计经济核算业务</w:t>
            </w:r>
          </w:p>
        </w:tc>
        <w:tc>
          <w:tcPr>
            <w:tcW w:w="3405" w:type="dxa"/>
            <w:noWrap w:val="0"/>
            <w:vAlign w:val="top"/>
          </w:tcPr>
          <w:p>
            <w:pPr>
              <w:snapToGrid w:val="0"/>
              <w:spacing w:before="0" w:after="0" w:line="240" w:lineRule="auto"/>
              <w:jc w:val="center"/>
              <w:rPr>
                <w:rFonts w:hint="eastAsia" w:ascii="宋体" w:hAnsi="宋体" w:eastAsia="宋体" w:cs="宋体"/>
                <w:kern w:val="2"/>
                <w:sz w:val="20"/>
                <w:szCs w:val="20"/>
                <w:lang w:val="en-US" w:eastAsia="zh-CN" w:bidi="ar-SA"/>
              </w:rPr>
            </w:pPr>
            <w:r>
              <w:rPr>
                <w:rFonts w:hint="eastAsia" w:ascii="宋体" w:hAnsi="宋体" w:cs="宋体"/>
                <w:sz w:val="20"/>
                <w:szCs w:val="20"/>
                <w:lang w:val="en-US" w:eastAsia="zh-CN"/>
              </w:rPr>
              <w:t>现代服务学院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8" w:type="dxa"/>
            <w:noWrap w:val="0"/>
            <w:vAlign w:val="top"/>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rPr>
              <w:t>5</w:t>
            </w:r>
          </w:p>
        </w:tc>
        <w:tc>
          <w:tcPr>
            <w:tcW w:w="4372" w:type="dxa"/>
            <w:noWrap w:val="0"/>
            <w:vAlign w:val="top"/>
          </w:tcPr>
          <w:p>
            <w:pPr>
              <w:snapToGrid w:val="0"/>
              <w:spacing w:before="0" w:after="0" w:line="240" w:lineRule="auto"/>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国际金融</w:t>
            </w:r>
          </w:p>
        </w:tc>
        <w:tc>
          <w:tcPr>
            <w:tcW w:w="3405" w:type="dxa"/>
            <w:noWrap w:val="0"/>
            <w:vAlign w:val="top"/>
          </w:tcPr>
          <w:p>
            <w:pPr>
              <w:snapToGrid w:val="0"/>
              <w:spacing w:before="0" w:after="0" w:line="240" w:lineRule="auto"/>
              <w:jc w:val="center"/>
              <w:rPr>
                <w:rFonts w:hint="eastAsia" w:ascii="宋体" w:hAnsi="宋体" w:eastAsia="宋体" w:cs="宋体"/>
                <w:kern w:val="2"/>
                <w:sz w:val="20"/>
                <w:szCs w:val="20"/>
                <w:lang w:val="en-US" w:eastAsia="zh-CN" w:bidi="ar-SA"/>
              </w:rPr>
            </w:pPr>
            <w:r>
              <w:rPr>
                <w:rFonts w:hint="eastAsia" w:ascii="宋体" w:hAnsi="宋体" w:cs="宋体"/>
                <w:sz w:val="20"/>
                <w:szCs w:val="20"/>
                <w:lang w:val="en-US" w:eastAsia="zh-CN"/>
              </w:rPr>
              <w:t>现代服务学院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8" w:type="dxa"/>
            <w:noWrap w:val="0"/>
            <w:vAlign w:val="top"/>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cs="宋体"/>
                <w:sz w:val="20"/>
                <w:szCs w:val="20"/>
                <w:lang w:val="en-US" w:eastAsia="zh-CN"/>
              </w:rPr>
              <w:t>6</w:t>
            </w:r>
          </w:p>
        </w:tc>
        <w:tc>
          <w:tcPr>
            <w:tcW w:w="4372" w:type="dxa"/>
            <w:noWrap w:val="0"/>
            <w:vAlign w:val="top"/>
          </w:tcPr>
          <w:p>
            <w:pPr>
              <w:snapToGrid w:val="0"/>
              <w:spacing w:before="0" w:after="0" w:line="240" w:lineRule="auto"/>
              <w:jc w:val="center"/>
              <w:rPr>
                <w:rFonts w:hint="eastAsia" w:ascii="宋体" w:hAnsi="宋体" w:eastAsia="宋体" w:cs="宋体"/>
                <w:kern w:val="2"/>
                <w:sz w:val="20"/>
                <w:szCs w:val="20"/>
                <w:lang w:val="en-US" w:eastAsia="zh-CN" w:bidi="ar-SA"/>
              </w:rPr>
            </w:pPr>
            <w:r>
              <w:rPr>
                <w:rFonts w:hint="eastAsia" w:ascii="宋体" w:hAnsi="宋体" w:cs="宋体"/>
                <w:sz w:val="20"/>
                <w:szCs w:val="20"/>
              </w:rPr>
              <w:t>环境艺术手绘表现技法</w:t>
            </w:r>
          </w:p>
        </w:tc>
        <w:tc>
          <w:tcPr>
            <w:tcW w:w="3405" w:type="dxa"/>
            <w:noWrap w:val="0"/>
            <w:vAlign w:val="top"/>
          </w:tcPr>
          <w:p>
            <w:pPr>
              <w:snapToGrid w:val="0"/>
              <w:spacing w:before="0" w:after="0" w:line="240" w:lineRule="auto"/>
              <w:jc w:val="center"/>
              <w:rPr>
                <w:rFonts w:hint="eastAsia" w:ascii="宋体" w:hAnsi="宋体" w:eastAsia="宋体" w:cs="宋体"/>
                <w:kern w:val="2"/>
                <w:sz w:val="20"/>
                <w:szCs w:val="20"/>
                <w:lang w:val="en-US" w:eastAsia="zh-CN" w:bidi="ar-SA"/>
              </w:rPr>
            </w:pPr>
            <w:r>
              <w:rPr>
                <w:rFonts w:hint="eastAsia" w:ascii="宋体" w:hAnsi="宋体" w:cs="宋体"/>
                <w:sz w:val="20"/>
                <w:szCs w:val="20"/>
              </w:rPr>
              <w:t>艺术设计</w:t>
            </w:r>
            <w:r>
              <w:rPr>
                <w:rFonts w:hint="eastAsia" w:ascii="宋体" w:hAnsi="宋体" w:cs="宋体"/>
                <w:sz w:val="20"/>
                <w:szCs w:val="20"/>
                <w:lang w:val="en-US" w:eastAsia="zh-CN"/>
              </w:rPr>
              <w:t>学院</w:t>
            </w:r>
          </w:p>
        </w:tc>
      </w:tr>
    </w:tbl>
    <w:p>
      <w:pPr>
        <w:pStyle w:val="6"/>
        <w:jc w:val="center"/>
        <w:rPr>
          <w:rFonts w:hint="eastAsia" w:eastAsia="宋体"/>
          <w:lang w:eastAsia="zh-CN"/>
        </w:rPr>
      </w:pPr>
      <w:bookmarkStart w:id="15" w:name="_Toc32133"/>
      <w:r>
        <w:t xml:space="preserve">表 </w:t>
      </w:r>
      <w:r>
        <w:fldChar w:fldCharType="begin"/>
      </w:r>
      <w:r>
        <w:instrText xml:space="preserve"> SEQ 表 \* ARABIC </w:instrText>
      </w:r>
      <w:r>
        <w:fldChar w:fldCharType="separate"/>
      </w:r>
      <w:r>
        <w:t>5</w:t>
      </w:r>
      <w:r>
        <w:fldChar w:fldCharType="end"/>
      </w:r>
      <w:bookmarkStart w:id="16" w:name="_Toc32337"/>
      <w:bookmarkStart w:id="17" w:name="_Toc301"/>
      <w:r>
        <w:rPr>
          <w:rFonts w:hint="eastAsia"/>
          <w:lang w:eastAsia="zh-CN"/>
        </w:rPr>
        <w:t xml:space="preserve">  精品课程一览表</w:t>
      </w:r>
      <w:bookmarkEnd w:id="15"/>
      <w:bookmarkEnd w:id="16"/>
      <w:bookmarkEnd w:id="17"/>
    </w:p>
    <w:p>
      <w:pPr>
        <w:spacing w:before="0" w:after="0" w:line="240" w:lineRule="auto"/>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8" w:name="_Toc18009"/>
      <w:r>
        <w:rPr>
          <w:rFonts w:hint="eastAsia" w:ascii="宋体" w:hAnsi="宋体" w:cs="宋体"/>
          <w:b/>
          <w:bCs/>
          <w:sz w:val="28"/>
          <w:szCs w:val="28"/>
          <w:lang w:val="en-US" w:eastAsia="zh-CN"/>
        </w:rPr>
        <w:t>1.3学生情况</w:t>
      </w:r>
      <w:bookmarkEnd w:id="18"/>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lang w:val="en-US" w:eastAsia="zh-CN"/>
        </w:rPr>
        <w:t>2023年</w:t>
      </w:r>
      <w:r>
        <w:rPr>
          <w:rFonts w:hint="eastAsia" w:ascii="宋体" w:hAnsi="宋体" w:cs="宋体"/>
          <w:sz w:val="28"/>
          <w:szCs w:val="28"/>
        </w:rPr>
        <w:t>招生3月份高招提前批次录取</w:t>
      </w:r>
      <w:r>
        <w:rPr>
          <w:rFonts w:hint="eastAsia" w:ascii="宋体" w:hAnsi="宋体" w:cs="宋体"/>
          <w:sz w:val="28"/>
          <w:szCs w:val="28"/>
          <w:lang w:val="en-US" w:eastAsia="zh-CN"/>
        </w:rPr>
        <w:t>96</w:t>
      </w:r>
      <w:r>
        <w:rPr>
          <w:rFonts w:hint="eastAsia" w:ascii="宋体" w:hAnsi="宋体" w:cs="宋体"/>
          <w:sz w:val="28"/>
          <w:szCs w:val="28"/>
        </w:rPr>
        <w:t>人，</w:t>
      </w:r>
      <w:r>
        <w:rPr>
          <w:rFonts w:hint="eastAsia" w:ascii="宋体" w:hAnsi="宋体" w:cs="宋体"/>
          <w:sz w:val="28"/>
          <w:szCs w:val="28"/>
          <w:lang w:val="en-US" w:eastAsia="zh-CN"/>
        </w:rPr>
        <w:t>职教高考</w:t>
      </w:r>
      <w:r>
        <w:rPr>
          <w:rFonts w:hint="eastAsia" w:ascii="宋体" w:hAnsi="宋体" w:cs="宋体"/>
          <w:sz w:val="28"/>
          <w:szCs w:val="28"/>
        </w:rPr>
        <w:t>录取</w:t>
      </w:r>
      <w:r>
        <w:rPr>
          <w:rFonts w:hint="eastAsia" w:ascii="宋体" w:hAnsi="宋体" w:cs="宋体"/>
          <w:sz w:val="28"/>
          <w:szCs w:val="28"/>
          <w:lang w:val="en-US" w:eastAsia="zh-CN"/>
        </w:rPr>
        <w:t>945</w:t>
      </w:r>
      <w:r>
        <w:rPr>
          <w:rFonts w:hint="eastAsia" w:ascii="宋体" w:hAnsi="宋体" w:cs="宋体"/>
          <w:sz w:val="28"/>
          <w:szCs w:val="28"/>
        </w:rPr>
        <w:t>人，高考批次省内录取</w:t>
      </w:r>
      <w:r>
        <w:rPr>
          <w:rFonts w:hint="eastAsia" w:ascii="宋体" w:hAnsi="宋体" w:cs="宋体"/>
          <w:sz w:val="28"/>
          <w:szCs w:val="28"/>
          <w:lang w:val="en-US" w:eastAsia="zh-CN"/>
        </w:rPr>
        <w:t>736</w:t>
      </w:r>
      <w:r>
        <w:rPr>
          <w:rFonts w:hint="eastAsia" w:ascii="宋体" w:hAnsi="宋体" w:cs="宋体"/>
          <w:sz w:val="28"/>
          <w:szCs w:val="28"/>
        </w:rPr>
        <w:t>人，省外共录取</w:t>
      </w:r>
      <w:r>
        <w:rPr>
          <w:rFonts w:hint="eastAsia" w:ascii="宋体" w:hAnsi="宋体" w:cs="宋体"/>
          <w:sz w:val="28"/>
          <w:szCs w:val="28"/>
          <w:lang w:val="en-US" w:eastAsia="zh-CN"/>
        </w:rPr>
        <w:t>82</w:t>
      </w:r>
      <w:r>
        <w:rPr>
          <w:rFonts w:hint="eastAsia" w:ascii="宋体" w:hAnsi="宋体" w:cs="宋体"/>
          <w:sz w:val="28"/>
          <w:szCs w:val="28"/>
        </w:rPr>
        <w:t>人，各批次总招生人数</w:t>
      </w:r>
      <w:r>
        <w:rPr>
          <w:rFonts w:hint="eastAsia" w:ascii="宋体" w:hAnsi="宋体" w:cs="宋体"/>
          <w:sz w:val="28"/>
          <w:szCs w:val="28"/>
          <w:lang w:val="en-US" w:eastAsia="zh-CN"/>
        </w:rPr>
        <w:t>1859</w:t>
      </w:r>
      <w:r>
        <w:rPr>
          <w:rFonts w:hint="eastAsia" w:ascii="宋体" w:hAnsi="宋体" w:cs="宋体"/>
          <w:sz w:val="28"/>
          <w:szCs w:val="28"/>
        </w:rPr>
        <w:t>人，招生计划完成率达到</w:t>
      </w:r>
      <w:r>
        <w:rPr>
          <w:rFonts w:hint="eastAsia" w:ascii="宋体" w:hAnsi="宋体" w:cs="宋体"/>
          <w:sz w:val="28"/>
          <w:szCs w:val="28"/>
          <w:lang w:val="en-US" w:eastAsia="zh-CN"/>
        </w:rPr>
        <w:t>97.84</w:t>
      </w:r>
      <w:r>
        <w:rPr>
          <w:rFonts w:hint="eastAsia" w:ascii="宋体" w:hAnsi="宋体" w:cs="宋体"/>
          <w:sz w:val="28"/>
          <w:szCs w:val="28"/>
        </w:rPr>
        <w:t>%，省内计划完成率达到</w:t>
      </w:r>
      <w:r>
        <w:rPr>
          <w:rFonts w:hint="eastAsia" w:ascii="宋体" w:hAnsi="宋体" w:cs="宋体"/>
          <w:sz w:val="28"/>
          <w:szCs w:val="28"/>
          <w:lang w:val="en-US" w:eastAsia="zh-CN"/>
        </w:rPr>
        <w:t>98.39</w:t>
      </w:r>
      <w:r>
        <w:rPr>
          <w:rFonts w:hint="eastAsia" w:ascii="宋体" w:hAnsi="宋体" w:cs="宋体"/>
          <w:sz w:val="28"/>
          <w:szCs w:val="28"/>
        </w:rPr>
        <w:t>%。招生人数、完成率都打破历年招生人数之最。今年3+2专业</w:t>
      </w:r>
      <w:r>
        <w:rPr>
          <w:rFonts w:hint="eastAsia" w:ascii="宋体" w:hAnsi="宋体" w:cs="宋体"/>
          <w:sz w:val="28"/>
          <w:szCs w:val="28"/>
          <w:lang w:val="en-US" w:eastAsia="zh-CN"/>
        </w:rPr>
        <w:t>依然有很强的竞争力，一次投档完成140个计划，历史类最低录取450分，物理类录取最低439。护理</w:t>
      </w:r>
      <w:r>
        <w:rPr>
          <w:rFonts w:hint="eastAsia" w:ascii="宋体" w:hAnsi="宋体" w:cs="宋体"/>
          <w:sz w:val="28"/>
          <w:szCs w:val="28"/>
        </w:rPr>
        <w:t>专业在招生上对</w:t>
      </w:r>
      <w:r>
        <w:rPr>
          <w:rFonts w:hint="eastAsia" w:ascii="宋体" w:hAnsi="宋体" w:cs="宋体"/>
          <w:sz w:val="28"/>
          <w:szCs w:val="28"/>
          <w:lang w:val="en-US" w:eastAsia="zh-CN"/>
        </w:rPr>
        <w:t>依然对</w:t>
      </w:r>
      <w:r>
        <w:rPr>
          <w:rFonts w:hint="eastAsia" w:ascii="宋体" w:hAnsi="宋体" w:cs="宋体"/>
          <w:sz w:val="28"/>
          <w:szCs w:val="28"/>
        </w:rPr>
        <w:t>考生产生了巨大的吸引力</w:t>
      </w:r>
      <w:r>
        <w:rPr>
          <w:rFonts w:hint="eastAsia" w:ascii="宋体" w:hAnsi="宋体" w:cs="宋体"/>
          <w:sz w:val="28"/>
          <w:szCs w:val="28"/>
          <w:lang w:eastAsia="zh-CN"/>
        </w:rPr>
        <w:t>，</w:t>
      </w:r>
      <w:r>
        <w:rPr>
          <w:rFonts w:hint="eastAsia" w:ascii="宋体" w:hAnsi="宋体" w:cs="宋体"/>
          <w:sz w:val="28"/>
          <w:szCs w:val="28"/>
          <w:lang w:val="en-US" w:eastAsia="zh-CN"/>
        </w:rPr>
        <w:t>在录取阶段共录取403人</w:t>
      </w:r>
      <w:r>
        <w:rPr>
          <w:rFonts w:hint="eastAsia" w:ascii="宋体" w:hAnsi="宋体" w:cs="宋体"/>
          <w:sz w:val="28"/>
          <w:szCs w:val="28"/>
        </w:rPr>
        <w:t>。</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lang w:val="en-US" w:eastAsia="zh-CN"/>
        </w:rPr>
        <w:t>截至8月31日全日制在校生数3104</w:t>
      </w:r>
      <w:r>
        <w:rPr>
          <w:rFonts w:hint="eastAsia" w:ascii="宋体" w:hAnsi="宋体" w:cs="宋体"/>
          <w:sz w:val="28"/>
          <w:szCs w:val="28"/>
        </w:rPr>
        <w:t>名。学院20</w:t>
      </w:r>
      <w:r>
        <w:rPr>
          <w:rFonts w:hint="eastAsia" w:ascii="宋体" w:hAnsi="宋体" w:cs="宋体"/>
          <w:sz w:val="28"/>
          <w:szCs w:val="28"/>
          <w:lang w:val="en-US" w:eastAsia="zh-CN"/>
        </w:rPr>
        <w:t>23</w:t>
      </w:r>
      <w:r>
        <w:rPr>
          <w:rFonts w:hint="eastAsia" w:ascii="宋体" w:hAnsi="宋体" w:cs="宋体"/>
          <w:sz w:val="28"/>
          <w:szCs w:val="28"/>
        </w:rPr>
        <w:t>届毕业生</w:t>
      </w:r>
      <w:r>
        <w:rPr>
          <w:rFonts w:hint="eastAsia" w:ascii="宋体" w:hAnsi="宋体" w:cs="宋体"/>
          <w:sz w:val="28"/>
          <w:szCs w:val="28"/>
          <w:lang w:val="en-US" w:eastAsia="zh-CN"/>
        </w:rPr>
        <w:t>515</w:t>
      </w:r>
      <w:r>
        <w:rPr>
          <w:rFonts w:hint="eastAsia" w:ascii="宋体" w:hAnsi="宋体" w:cs="宋体"/>
          <w:sz w:val="28"/>
          <w:szCs w:val="28"/>
        </w:rPr>
        <w:t>名，初次就业率为</w:t>
      </w:r>
      <w:r>
        <w:rPr>
          <w:rFonts w:hint="eastAsia" w:ascii="宋体" w:hAnsi="宋体" w:cs="宋体"/>
          <w:sz w:val="28"/>
          <w:szCs w:val="28"/>
          <w:lang w:val="en-US" w:eastAsia="zh-CN"/>
        </w:rPr>
        <w:t>86.54</w:t>
      </w:r>
      <w:r>
        <w:rPr>
          <w:rFonts w:hint="eastAsia" w:ascii="宋体" w:hAnsi="宋体" w:cs="宋体"/>
          <w:sz w:val="28"/>
          <w:szCs w:val="28"/>
        </w:rPr>
        <w:t>%。</w:t>
      </w:r>
    </w:p>
    <w:p>
      <w:pPr>
        <w:pStyle w:val="6"/>
        <w:jc w:val="center"/>
        <w:rPr>
          <w:rFonts w:hint="eastAsia" w:eastAsia="宋体"/>
          <w:lang w:eastAsia="zh-CN"/>
        </w:rPr>
      </w:pPr>
      <w:bookmarkStart w:id="19" w:name="_Toc3343"/>
      <w:r>
        <w:t xml:space="preserve">表 </w:t>
      </w:r>
      <w:r>
        <w:fldChar w:fldCharType="begin"/>
      </w:r>
      <w:r>
        <w:instrText xml:space="preserve"> SEQ 表 \* ARABIC </w:instrText>
      </w:r>
      <w:r>
        <w:fldChar w:fldCharType="separate"/>
      </w:r>
      <w:r>
        <w:t>6</w:t>
      </w:r>
      <w:r>
        <w:fldChar w:fldCharType="end"/>
      </w:r>
      <w:bookmarkStart w:id="20" w:name="_Toc19549"/>
      <w:bookmarkStart w:id="21" w:name="_Toc6721"/>
      <w:r>
        <w:rPr>
          <w:rFonts w:hint="eastAsia"/>
          <w:lang w:eastAsia="zh-CN"/>
        </w:rPr>
        <w:t xml:space="preserve">  在校生专业分布统计表</w:t>
      </w:r>
      <w:bookmarkEnd w:id="19"/>
      <w:bookmarkEnd w:id="20"/>
      <w:bookmarkEnd w:id="21"/>
    </w:p>
    <w:tbl>
      <w:tblPr>
        <w:tblStyle w:val="13"/>
        <w:tblW w:w="85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3030"/>
        <w:gridCol w:w="1218"/>
        <w:gridCol w:w="2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noWrap w:val="0"/>
            <w:vAlign w:val="center"/>
          </w:tcPr>
          <w:p>
            <w:pPr>
              <w:snapToGrid w:val="0"/>
              <w:spacing w:before="0" w:after="0" w:line="240" w:lineRule="auto"/>
              <w:jc w:val="center"/>
              <w:rPr>
                <w:rFonts w:hint="eastAsia" w:ascii="宋体" w:hAnsi="宋体" w:cs="宋体"/>
                <w:b/>
                <w:bCs/>
              </w:rPr>
            </w:pPr>
            <w:r>
              <w:rPr>
                <w:rFonts w:hint="eastAsia" w:ascii="宋体" w:hAnsi="宋体" w:cs="宋体"/>
                <w:b/>
                <w:bCs/>
              </w:rPr>
              <w:t>院  系</w:t>
            </w:r>
          </w:p>
        </w:tc>
        <w:tc>
          <w:tcPr>
            <w:tcW w:w="3030" w:type="dxa"/>
            <w:noWrap w:val="0"/>
            <w:vAlign w:val="center"/>
          </w:tcPr>
          <w:p>
            <w:pPr>
              <w:snapToGrid w:val="0"/>
              <w:spacing w:before="0" w:after="0" w:line="240" w:lineRule="auto"/>
              <w:jc w:val="center"/>
              <w:rPr>
                <w:rFonts w:hint="eastAsia" w:ascii="宋体" w:hAnsi="宋体" w:cs="宋体"/>
                <w:b/>
                <w:bCs/>
              </w:rPr>
            </w:pPr>
            <w:r>
              <w:rPr>
                <w:rFonts w:hint="eastAsia" w:ascii="宋体" w:hAnsi="宋体" w:cs="宋体"/>
                <w:b/>
                <w:bCs/>
              </w:rPr>
              <w:t>专业名称</w:t>
            </w:r>
          </w:p>
        </w:tc>
        <w:tc>
          <w:tcPr>
            <w:tcW w:w="1218" w:type="dxa"/>
            <w:noWrap w:val="0"/>
            <w:vAlign w:val="center"/>
          </w:tcPr>
          <w:p>
            <w:pPr>
              <w:snapToGrid w:val="0"/>
              <w:spacing w:before="0" w:after="0" w:line="240" w:lineRule="auto"/>
              <w:jc w:val="center"/>
              <w:rPr>
                <w:rFonts w:hint="eastAsia" w:ascii="宋体" w:hAnsi="宋体" w:cs="宋体"/>
                <w:b/>
                <w:bCs/>
              </w:rPr>
            </w:pPr>
            <w:r>
              <w:rPr>
                <w:rFonts w:hint="eastAsia" w:ascii="宋体" w:hAnsi="宋体" w:cs="宋体"/>
                <w:b/>
                <w:bCs/>
              </w:rPr>
              <w:t>在校生人数</w:t>
            </w:r>
          </w:p>
        </w:tc>
        <w:tc>
          <w:tcPr>
            <w:tcW w:w="2555" w:type="dxa"/>
            <w:noWrap w:val="0"/>
            <w:vAlign w:val="center"/>
          </w:tcPr>
          <w:p>
            <w:pPr>
              <w:snapToGrid w:val="0"/>
              <w:spacing w:before="0" w:after="0" w:line="240" w:lineRule="auto"/>
              <w:jc w:val="center"/>
              <w:rPr>
                <w:rFonts w:hint="eastAsia" w:ascii="宋体" w:hAnsi="宋体" w:cs="宋体"/>
                <w:b/>
                <w:bCs/>
              </w:rPr>
            </w:pPr>
            <w:r>
              <w:rPr>
                <w:rFonts w:hint="eastAsia" w:ascii="宋体" w:hAnsi="宋体" w:cs="宋体"/>
                <w:b/>
                <w:bCs/>
              </w:rPr>
              <w:t>占在校生总数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restart"/>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rPr>
              <w:t>艺术设计</w:t>
            </w:r>
            <w:r>
              <w:rPr>
                <w:rFonts w:hint="eastAsia" w:ascii="宋体" w:hAnsi="宋体" w:eastAsia="宋体" w:cs="宋体"/>
                <w:sz w:val="20"/>
                <w:szCs w:val="20"/>
                <w:lang w:val="en-US" w:eastAsia="zh-CN"/>
              </w:rPr>
              <w:t>学院</w:t>
            </w: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建筑装饰工程技术</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119</w:t>
            </w:r>
          </w:p>
        </w:tc>
        <w:tc>
          <w:tcPr>
            <w:tcW w:w="2555" w:type="dxa"/>
            <w:vMerge w:val="restart"/>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12.56</w:t>
            </w:r>
            <w:r>
              <w:rPr>
                <w:rFonts w:hint="eastAsia" w:ascii="宋体" w:hAnsi="宋体" w:eastAsia="宋体" w:cs="宋体"/>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艺术设计</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200</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rPr>
              <w:t>动漫制作</w:t>
            </w:r>
            <w:r>
              <w:rPr>
                <w:rFonts w:hint="eastAsia" w:ascii="宋体" w:hAnsi="宋体" w:eastAsia="宋体" w:cs="宋体"/>
                <w:sz w:val="20"/>
                <w:szCs w:val="20"/>
                <w:lang w:val="en-US" w:eastAsia="zh-CN"/>
              </w:rPr>
              <w:t>技术</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61</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服装与服饰设计</w:t>
            </w:r>
          </w:p>
        </w:tc>
        <w:tc>
          <w:tcPr>
            <w:tcW w:w="1218" w:type="dxa"/>
            <w:noWrap w:val="0"/>
            <w:vAlign w:val="center"/>
          </w:tcPr>
          <w:p>
            <w:pPr>
              <w:snapToGrid w:val="0"/>
              <w:spacing w:before="0" w:after="0" w:line="240" w:lineRule="auto"/>
              <w:rPr>
                <w:rFonts w:hint="eastAsia" w:ascii="宋体" w:hAnsi="宋体" w:eastAsia="宋体" w:cs="宋体"/>
                <w:sz w:val="20"/>
                <w:szCs w:val="20"/>
                <w:lang w:eastAsia="zh-CN"/>
              </w:rPr>
            </w:pPr>
            <w:r>
              <w:rPr>
                <w:rFonts w:hint="eastAsia" w:ascii="宋体" w:hAnsi="宋体" w:eastAsia="宋体" w:cs="宋体"/>
                <w:sz w:val="20"/>
                <w:szCs w:val="20"/>
                <w:lang w:val="en-US" w:eastAsia="zh-CN"/>
              </w:rPr>
              <w:t>1</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工业设计</w:t>
            </w:r>
          </w:p>
        </w:tc>
        <w:tc>
          <w:tcPr>
            <w:tcW w:w="1218" w:type="dxa"/>
            <w:noWrap w:val="0"/>
            <w:vAlign w:val="center"/>
          </w:tcPr>
          <w:p>
            <w:pPr>
              <w:snapToGrid w:val="0"/>
              <w:spacing w:before="0" w:after="0" w:line="240" w:lineRule="auto"/>
              <w:rPr>
                <w:rFonts w:hint="eastAsia" w:ascii="宋体" w:hAnsi="宋体" w:eastAsia="宋体" w:cs="宋体"/>
                <w:sz w:val="20"/>
                <w:szCs w:val="20"/>
                <w:lang w:eastAsia="zh-CN"/>
              </w:rPr>
            </w:pPr>
            <w:r>
              <w:rPr>
                <w:rFonts w:hint="eastAsia" w:ascii="宋体" w:hAnsi="宋体" w:eastAsia="宋体" w:cs="宋体"/>
                <w:sz w:val="20"/>
                <w:szCs w:val="20"/>
                <w:lang w:val="en-US" w:eastAsia="zh-CN"/>
              </w:rPr>
              <w:t>9</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小 计</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390</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restart"/>
            <w:noWrap w:val="0"/>
            <w:vAlign w:val="center"/>
          </w:tcPr>
          <w:p>
            <w:pPr>
              <w:snapToGrid w:val="0"/>
              <w:spacing w:before="0" w:after="0" w:line="240" w:lineRule="auto"/>
              <w:rPr>
                <w:rFonts w:hint="eastAsia" w:ascii="宋体" w:hAnsi="宋体" w:eastAsia="宋体" w:cs="宋体"/>
                <w:sz w:val="20"/>
                <w:szCs w:val="20"/>
                <w:lang w:eastAsia="zh-CN"/>
              </w:rPr>
            </w:pPr>
            <w:r>
              <w:rPr>
                <w:rFonts w:hint="eastAsia" w:ascii="宋体" w:hAnsi="宋体" w:eastAsia="宋体" w:cs="宋体"/>
                <w:sz w:val="20"/>
                <w:szCs w:val="20"/>
                <w:lang w:val="en-US" w:eastAsia="zh-CN"/>
              </w:rPr>
              <w:t>现代服务学院</w:t>
            </w: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国际经济与贸易</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25</w:t>
            </w:r>
          </w:p>
        </w:tc>
        <w:tc>
          <w:tcPr>
            <w:tcW w:w="2555" w:type="dxa"/>
            <w:vMerge w:val="restart"/>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55.25</w:t>
            </w:r>
            <w:r>
              <w:rPr>
                <w:rFonts w:hint="eastAsia" w:ascii="宋体" w:hAnsi="宋体" w:eastAsia="宋体" w:cs="宋体"/>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大数据与</w:t>
            </w:r>
            <w:r>
              <w:rPr>
                <w:rFonts w:hint="eastAsia" w:ascii="宋体" w:hAnsi="宋体" w:eastAsia="宋体" w:cs="宋体"/>
                <w:sz w:val="20"/>
                <w:szCs w:val="20"/>
              </w:rPr>
              <w:t>会计</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353</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rPr>
              <w:t>保险</w:t>
            </w:r>
            <w:r>
              <w:rPr>
                <w:rFonts w:hint="eastAsia" w:ascii="宋体" w:hAnsi="宋体" w:eastAsia="宋体" w:cs="宋体"/>
                <w:sz w:val="20"/>
                <w:szCs w:val="20"/>
                <w:lang w:val="en-US" w:eastAsia="zh-CN"/>
              </w:rPr>
              <w:t>实务</w:t>
            </w:r>
          </w:p>
        </w:tc>
        <w:tc>
          <w:tcPr>
            <w:tcW w:w="1218" w:type="dxa"/>
            <w:noWrap w:val="0"/>
            <w:vAlign w:val="center"/>
          </w:tcPr>
          <w:p>
            <w:pPr>
              <w:snapToGrid w:val="0"/>
              <w:spacing w:before="0" w:after="0" w:line="240" w:lineRule="auto"/>
              <w:rPr>
                <w:rFonts w:hint="eastAsia" w:ascii="宋体" w:hAnsi="宋体" w:eastAsia="宋体" w:cs="宋体"/>
                <w:sz w:val="20"/>
                <w:szCs w:val="20"/>
                <w:lang w:eastAsia="zh-CN"/>
              </w:rPr>
            </w:pPr>
            <w:r>
              <w:rPr>
                <w:rFonts w:hint="eastAsia" w:ascii="宋体" w:hAnsi="宋体" w:eastAsia="宋体" w:cs="宋体"/>
                <w:sz w:val="20"/>
                <w:szCs w:val="20"/>
                <w:lang w:val="en-US" w:eastAsia="zh-CN"/>
              </w:rPr>
              <w:t>1</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lang w:eastAsia="zh-CN"/>
              </w:rPr>
            </w:pPr>
            <w:r>
              <w:rPr>
                <w:rFonts w:hint="eastAsia" w:ascii="宋体" w:hAnsi="宋体" w:eastAsia="宋体" w:cs="宋体"/>
                <w:sz w:val="20"/>
                <w:szCs w:val="20"/>
              </w:rPr>
              <w:t>证券</w:t>
            </w:r>
            <w:r>
              <w:rPr>
                <w:rFonts w:hint="eastAsia" w:ascii="宋体" w:hAnsi="宋体" w:eastAsia="宋体" w:cs="宋体"/>
                <w:sz w:val="20"/>
                <w:szCs w:val="20"/>
                <w:lang w:val="en-US" w:eastAsia="zh-CN"/>
              </w:rPr>
              <w:t>实务</w:t>
            </w:r>
          </w:p>
        </w:tc>
        <w:tc>
          <w:tcPr>
            <w:tcW w:w="1218" w:type="dxa"/>
            <w:noWrap w:val="0"/>
            <w:vAlign w:val="center"/>
          </w:tcPr>
          <w:p>
            <w:pPr>
              <w:snapToGrid w:val="0"/>
              <w:spacing w:before="0" w:after="0" w:line="240" w:lineRule="auto"/>
              <w:rPr>
                <w:rFonts w:hint="eastAsia" w:ascii="宋体" w:hAnsi="宋体" w:eastAsia="宋体" w:cs="宋体"/>
                <w:sz w:val="20"/>
                <w:szCs w:val="20"/>
                <w:lang w:eastAsia="zh-CN"/>
              </w:rPr>
            </w:pPr>
            <w:r>
              <w:rPr>
                <w:rFonts w:hint="eastAsia" w:ascii="宋体" w:hAnsi="宋体" w:eastAsia="宋体" w:cs="宋体"/>
                <w:sz w:val="20"/>
                <w:szCs w:val="20"/>
                <w:lang w:val="en-US" w:eastAsia="zh-CN"/>
              </w:rPr>
              <w:t>1</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市场营销</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44</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现代</w:t>
            </w:r>
            <w:r>
              <w:rPr>
                <w:rFonts w:hint="eastAsia" w:ascii="宋体" w:hAnsi="宋体" w:eastAsia="宋体" w:cs="宋体"/>
                <w:sz w:val="20"/>
                <w:szCs w:val="20"/>
              </w:rPr>
              <w:t>物流管理</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28</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商务英语</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72</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电子商务</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252</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导游</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6</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高速铁路客运</w:t>
            </w:r>
            <w:r>
              <w:rPr>
                <w:rFonts w:hint="eastAsia" w:ascii="宋体" w:hAnsi="宋体" w:eastAsia="宋体" w:cs="宋体"/>
                <w:sz w:val="20"/>
                <w:szCs w:val="20"/>
                <w:lang w:val="en-US" w:eastAsia="zh-CN"/>
              </w:rPr>
              <w:t>服</w:t>
            </w:r>
            <w:r>
              <w:rPr>
                <w:rFonts w:hint="eastAsia" w:ascii="宋体" w:hAnsi="宋体" w:eastAsia="宋体" w:cs="宋体"/>
                <w:sz w:val="20"/>
                <w:szCs w:val="20"/>
              </w:rPr>
              <w:t>务</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269</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空中乘务</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662</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网络营销与直播电商</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小计</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1715</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restart"/>
            <w:noWrap w:val="0"/>
            <w:vAlign w:val="center"/>
          </w:tcPr>
          <w:p>
            <w:pPr>
              <w:snapToGrid w:val="0"/>
              <w:spacing w:before="0" w:after="0" w:line="240" w:lineRule="auto"/>
              <w:rPr>
                <w:rFonts w:hint="eastAsia" w:ascii="宋体" w:hAnsi="宋体" w:eastAsia="宋体" w:cs="宋体"/>
                <w:sz w:val="20"/>
                <w:szCs w:val="20"/>
                <w:lang w:eastAsia="zh-CN"/>
              </w:rPr>
            </w:pPr>
            <w:r>
              <w:rPr>
                <w:rFonts w:hint="eastAsia" w:ascii="宋体" w:hAnsi="宋体" w:eastAsia="宋体" w:cs="宋体"/>
                <w:sz w:val="20"/>
                <w:szCs w:val="20"/>
              </w:rPr>
              <w:t>工程技术</w:t>
            </w:r>
            <w:r>
              <w:rPr>
                <w:rFonts w:hint="eastAsia" w:ascii="宋体" w:hAnsi="宋体" w:eastAsia="宋体" w:cs="宋体"/>
                <w:sz w:val="20"/>
                <w:szCs w:val="20"/>
                <w:lang w:val="en-US" w:eastAsia="zh-CN"/>
              </w:rPr>
              <w:t>学院</w:t>
            </w: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建筑工程技术</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64</w:t>
            </w:r>
          </w:p>
        </w:tc>
        <w:tc>
          <w:tcPr>
            <w:tcW w:w="2555" w:type="dxa"/>
            <w:vMerge w:val="restart"/>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23.20</w:t>
            </w:r>
            <w:r>
              <w:rPr>
                <w:rFonts w:hint="eastAsia" w:ascii="宋体" w:hAnsi="宋体" w:eastAsia="宋体" w:cs="宋体"/>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建</w:t>
            </w:r>
            <w:r>
              <w:rPr>
                <w:rFonts w:hint="eastAsia" w:ascii="宋体" w:hAnsi="宋体" w:eastAsia="宋体" w:cs="宋体"/>
                <w:sz w:val="20"/>
                <w:szCs w:val="20"/>
                <w:lang w:val="en-US" w:eastAsia="zh-CN"/>
              </w:rPr>
              <w:t>设</w:t>
            </w:r>
            <w:r>
              <w:rPr>
                <w:rFonts w:hint="eastAsia" w:ascii="宋体" w:hAnsi="宋体" w:eastAsia="宋体" w:cs="宋体"/>
                <w:sz w:val="20"/>
                <w:szCs w:val="20"/>
              </w:rPr>
              <w:t>工程管理</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20</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机电一体化技术</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144</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计算机应用技术</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368</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应用电子技术</w:t>
            </w:r>
          </w:p>
        </w:tc>
        <w:tc>
          <w:tcPr>
            <w:tcW w:w="1218" w:type="dxa"/>
            <w:noWrap w:val="0"/>
            <w:vAlign w:val="center"/>
          </w:tcPr>
          <w:p>
            <w:pPr>
              <w:snapToGrid w:val="0"/>
              <w:spacing w:before="0" w:after="0" w:line="240" w:lineRule="auto"/>
              <w:rPr>
                <w:rFonts w:hint="eastAsia" w:ascii="宋体" w:hAnsi="宋体" w:eastAsia="宋体" w:cs="宋体"/>
                <w:sz w:val="20"/>
                <w:szCs w:val="20"/>
                <w:lang w:eastAsia="zh-CN"/>
              </w:rPr>
            </w:pPr>
            <w:r>
              <w:rPr>
                <w:rFonts w:hint="eastAsia" w:ascii="宋体" w:hAnsi="宋体" w:eastAsia="宋体" w:cs="宋体"/>
                <w:sz w:val="20"/>
                <w:szCs w:val="20"/>
                <w:lang w:val="en-US" w:eastAsia="zh-CN"/>
              </w:rPr>
              <w:t>8</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计算机网络技术</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49</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飞机机电设备维修</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12</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机械设计与制造</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49</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集成电路技术</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6</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小计</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720</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restart"/>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康养护理学院</w:t>
            </w:r>
          </w:p>
        </w:tc>
        <w:tc>
          <w:tcPr>
            <w:tcW w:w="3030"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护理</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220</w:t>
            </w:r>
          </w:p>
        </w:tc>
        <w:tc>
          <w:tcPr>
            <w:tcW w:w="2555" w:type="dxa"/>
            <w:vMerge w:val="restart"/>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8.99%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婴幼儿托与服务与管理</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59</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智慧健康养老服务与管理</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0</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vMerge w:val="continue"/>
            <w:noWrap w:val="0"/>
            <w:vAlign w:val="center"/>
          </w:tcPr>
          <w:p>
            <w:pPr>
              <w:snapToGrid w:val="0"/>
              <w:spacing w:before="0" w:after="0" w:line="240" w:lineRule="auto"/>
              <w:rPr>
                <w:rFonts w:hint="eastAsia" w:ascii="宋体" w:hAnsi="宋体" w:eastAsia="宋体" w:cs="宋体"/>
                <w:sz w:val="20"/>
                <w:szCs w:val="20"/>
              </w:rPr>
            </w:pPr>
          </w:p>
        </w:tc>
        <w:tc>
          <w:tcPr>
            <w:tcW w:w="3030"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小计</w:t>
            </w:r>
          </w:p>
        </w:tc>
        <w:tc>
          <w:tcPr>
            <w:tcW w:w="1218" w:type="dxa"/>
            <w:noWrap w:val="0"/>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279</w:t>
            </w:r>
          </w:p>
        </w:tc>
        <w:tc>
          <w:tcPr>
            <w:tcW w:w="2555" w:type="dxa"/>
            <w:vMerge w:val="continue"/>
            <w:noWrap w:val="0"/>
            <w:vAlign w:val="center"/>
          </w:tcPr>
          <w:p>
            <w:pPr>
              <w:snapToGrid w:val="0"/>
              <w:spacing w:before="0" w:after="0" w:line="240" w:lineRule="auto"/>
              <w:rPr>
                <w:rFonts w:hint="eastAsia" w:ascii="宋体" w:hAnsi="宋体" w:eastAsia="宋体" w:cs="宋体"/>
                <w:sz w:val="20"/>
                <w:szCs w:val="20"/>
              </w:rPr>
            </w:pPr>
          </w:p>
        </w:tc>
      </w:tr>
    </w:tbl>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 xml:space="preserve">学校领导高度重视就业工作，将就业工作纳入学院工作重要议事日程，推动就业工作全员化进程，成立了以院长、相关职能部门和各二级学院负责人共同组成的就业工作领导小组，加强对毕业生就业工作的领导和指导。在招就处专门建立了就业工作办公室，专职管理就业工作。根据学校人事变动情况，对每一学年度的校、院两级就业工作领导小组进行调整，由各级“一把手”担任就业工作领导小组的组长，让“一把手”真正挑起就业工作的领导职责。 </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我校广泛开拓就业渠道，鼓励学生“先就业、再择业”。鼓励学生在毕业之前积极主动参加社会实践活动，为日后择业奠定一定的感性认识和社会知识，利用多种方式与社会接触，拓宽视野，加深认识，培养自己对社会的责任感和亲切感，锻炼自己的胆识和技能。就业是一项系统性工程，贯穿于大学生的三年学习中，我校安排就业指导理论课与专家讲堂相结合，有针对性的开展大学就业问题相关辅导和讲座。</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pStyle w:val="6"/>
        <w:spacing w:line="240" w:lineRule="auto"/>
        <w:rPr>
          <w:rFonts w:hint="eastAsia" w:ascii="楷体" w:hAnsi="楷体" w:eastAsia="楷体" w:cs="宋体"/>
          <w:bCs/>
          <w:kern w:val="2"/>
          <w:sz w:val="24"/>
          <w:szCs w:val="24"/>
          <w:lang w:val="en-US" w:eastAsia="zh-CN" w:bidi="ar-SA"/>
        </w:rPr>
      </w:pPr>
      <w:bookmarkStart w:id="22" w:name="_Toc13522"/>
      <w:bookmarkStart w:id="23" w:name="_Toc26134"/>
      <w:r>
        <w:t xml:space="preserve">案例 1- </w:t>
      </w:r>
      <w:r>
        <w:fldChar w:fldCharType="begin"/>
      </w:r>
      <w:r>
        <w:instrText xml:space="preserve"> SEQ 案例_1- \* ARABIC </w:instrText>
      </w:r>
      <w:r>
        <w:fldChar w:fldCharType="separate"/>
      </w:r>
      <w:r>
        <w:t>1</w:t>
      </w:r>
      <w:r>
        <w:fldChar w:fldCharType="end"/>
      </w:r>
      <w:r>
        <w:rPr>
          <w:rFonts w:hint="eastAsia"/>
          <w:lang w:eastAsia="zh-CN"/>
        </w:rPr>
        <w:t xml:space="preserve">  【太湖创意职业技术学院百校千企万岗“大学生就业帮扶行动”送岗直通车】</w:t>
      </w:r>
      <w:r>
        <w:rPr>
          <w:rFonts w:hint="eastAsia" w:ascii="楷体" w:hAnsi="楷体" w:eastAsia="楷体" w:cs="宋体"/>
          <w:bCs/>
          <w:kern w:val="2"/>
          <w:sz w:val="24"/>
          <w:szCs w:val="24"/>
          <w:lang w:val="en-US" w:eastAsia="zh-CN" w:bidi="ar-SA"/>
        </w:rPr>
        <w:t>该活动旨在吸引更多高校毕业生干事、创业、服务地方人才招引工作，为推动无锡在新征程上跑出昂扬态势贡献青春力量。本次活动结合疫情防控实际，聚集就业帮扶，创新活动形式，共吸引了6家优质企业参与线上直播，涉及计算机、电气、新能源等多个专业，不仅吸引了2023届毕业生前来观看，其他年级同学也积极参与此次活动并且认真观看学习。</w:t>
      </w:r>
      <w:bookmarkEnd w:id="22"/>
      <w:bookmarkEnd w:id="23"/>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jc w:val="center"/>
        <w:rPr>
          <w:rFonts w:hint="eastAsia" w:eastAsia="宋体"/>
          <w:lang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jc w:val="center"/>
        <w:rPr>
          <w:rFonts w:hint="eastAsia" w:eastAsia="宋体"/>
          <w:lang w:eastAsia="zh-CN"/>
        </w:rPr>
      </w:pPr>
      <w:r>
        <w:rPr>
          <w:rFonts w:hint="eastAsia" w:eastAsia="宋体"/>
          <w:lang w:eastAsia="zh-CN"/>
        </w:rPr>
        <w:drawing>
          <wp:anchor distT="0" distB="0" distL="114300" distR="114300" simplePos="0" relativeHeight="251712512" behindDoc="0" locked="0" layoutInCell="1" allowOverlap="1">
            <wp:simplePos x="0" y="0"/>
            <wp:positionH relativeFrom="column">
              <wp:posOffset>131445</wp:posOffset>
            </wp:positionH>
            <wp:positionV relativeFrom="paragraph">
              <wp:posOffset>80645</wp:posOffset>
            </wp:positionV>
            <wp:extent cx="4987290" cy="3739515"/>
            <wp:effectExtent l="0" t="0" r="3810" b="13335"/>
            <wp:wrapTopAndBottom/>
            <wp:docPr id="19" name="图片 19" descr="微信图片_2023011217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30112173234"/>
                    <pic:cNvPicPr>
                      <a:picLocks noChangeAspect="1"/>
                    </pic:cNvPicPr>
                  </pic:nvPicPr>
                  <pic:blipFill>
                    <a:blip r:embed="rId13"/>
                    <a:stretch>
                      <a:fillRect/>
                    </a:stretch>
                  </pic:blipFill>
                  <pic:spPr>
                    <a:xfrm>
                      <a:off x="0" y="0"/>
                      <a:ext cx="4987290" cy="3739515"/>
                    </a:xfrm>
                    <a:prstGeom prst="rect">
                      <a:avLst/>
                    </a:prstGeom>
                  </pic:spPr>
                </pic:pic>
              </a:graphicData>
            </a:graphic>
          </wp:anchor>
        </w:drawing>
      </w:r>
    </w:p>
    <w:p>
      <w:pPr>
        <w:pStyle w:val="6"/>
        <w:jc w:val="center"/>
        <w:rPr>
          <w:rFonts w:hint="eastAsia" w:eastAsia="宋体"/>
          <w:lang w:eastAsia="zh-CN"/>
        </w:rPr>
      </w:pPr>
      <w:bookmarkStart w:id="24" w:name="_Toc23426"/>
      <w:r>
        <w:t xml:space="preserve">图 </w:t>
      </w:r>
      <w:r>
        <w:fldChar w:fldCharType="begin"/>
      </w:r>
      <w:r>
        <w:instrText xml:space="preserve"> SEQ 图 \* ARABIC </w:instrText>
      </w:r>
      <w:r>
        <w:fldChar w:fldCharType="separate"/>
      </w:r>
      <w:r>
        <w:t>1</w:t>
      </w:r>
      <w:r>
        <w:fldChar w:fldCharType="end"/>
      </w:r>
      <w:bookmarkStart w:id="25" w:name="_Toc30302"/>
      <w:r>
        <w:rPr>
          <w:rFonts w:hint="eastAsia"/>
          <w:lang w:eastAsia="zh-CN"/>
        </w:rPr>
        <w:t xml:space="preserve">  百校千企万岗“大学生就业帮扶行动”送岗直通车</w:t>
      </w:r>
      <w:bookmarkEnd w:id="24"/>
      <w:bookmarkEnd w:id="25"/>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snapToGrid w:val="0"/>
        <w:spacing w:before="0" w:after="0" w:line="240" w:lineRule="auto"/>
        <w:rPr>
          <w:rFonts w:hint="eastAsia" w:ascii="楷体" w:hAnsi="楷体" w:eastAsia="楷体" w:cs="宋体"/>
          <w:b/>
          <w:bCs w:val="0"/>
          <w:sz w:val="24"/>
          <w:szCs w:val="24"/>
          <w:lang w:val="en-US" w:eastAsia="zh-CN"/>
        </w:rPr>
      </w:pPr>
    </w:p>
    <w:p>
      <w:pPr>
        <w:pStyle w:val="6"/>
        <w:spacing w:line="240" w:lineRule="auto"/>
        <w:jc w:val="both"/>
        <w:rPr>
          <w:rFonts w:hint="eastAsia" w:ascii="楷体" w:hAnsi="楷体" w:eastAsia="楷体" w:cs="宋体"/>
          <w:bCs/>
          <w:sz w:val="24"/>
          <w:szCs w:val="24"/>
        </w:rPr>
      </w:pPr>
      <w:bookmarkStart w:id="26" w:name="_Toc29510"/>
      <w:bookmarkStart w:id="27" w:name="_Toc5177"/>
      <w:r>
        <w:t xml:space="preserve">案例 1- </w:t>
      </w:r>
      <w:r>
        <w:fldChar w:fldCharType="begin"/>
      </w:r>
      <w:r>
        <w:instrText xml:space="preserve"> SEQ 案例_1- \* ARABIC </w:instrText>
      </w:r>
      <w:r>
        <w:fldChar w:fldCharType="separate"/>
      </w:r>
      <w:r>
        <w:t>2</w:t>
      </w:r>
      <w:r>
        <w:fldChar w:fldCharType="end"/>
      </w:r>
      <w:r>
        <w:rPr>
          <w:rFonts w:hint="eastAsia"/>
          <w:lang w:eastAsia="zh-CN"/>
        </w:rPr>
        <w:t xml:space="preserve">  【太湖创意职业技术学院2023届毕业生就业招聘会】</w:t>
      </w:r>
      <w:r>
        <w:rPr>
          <w:rFonts w:hint="eastAsia" w:ascii="楷体" w:hAnsi="楷体" w:eastAsia="楷体" w:cs="宋体"/>
          <w:bCs/>
          <w:sz w:val="24"/>
          <w:szCs w:val="24"/>
        </w:rPr>
        <w:t>本次招聘会是2024年秋季学期首场线下大规模、多岗位、高质量供需对接会，此次招聘会共邀请到三十多家多家用人单位来我校招聘，提供就业岗位2900余个，招聘岗位涉及金融、物流运输、制造业、信息技术等多个行业，吸引了一大批毕业生们前来投递简历。校党委书记、招生就业处处长以及就业处、校企合作处工作人员也来到招聘现场指导学生就业，访问用人单位，同时进行市场调研。</w:t>
      </w:r>
      <w:r>
        <w:rPr>
          <w:rFonts w:hint="eastAsia" w:ascii="楷体" w:hAnsi="楷体" w:eastAsia="楷体" w:cs="宋体"/>
          <w:bCs/>
          <w:sz w:val="24"/>
          <w:szCs w:val="24"/>
          <w:lang w:val="en-US" w:eastAsia="zh-CN"/>
        </w:rPr>
        <w:t>学校领导</w:t>
      </w:r>
      <w:r>
        <w:rPr>
          <w:rFonts w:hint="eastAsia" w:ascii="楷体" w:hAnsi="楷体" w:eastAsia="楷体" w:cs="宋体"/>
          <w:bCs/>
          <w:sz w:val="24"/>
          <w:szCs w:val="24"/>
        </w:rPr>
        <w:t>与用人单位广泛接触，了解企业经营状况，人才需求情况，征求用人单位对我们人才培养工作的建议。</w:t>
      </w:r>
      <w:bookmarkEnd w:id="26"/>
      <w:r>
        <w:rPr>
          <w:rFonts w:hint="eastAsia" w:ascii="楷体" w:hAnsi="楷体" w:eastAsia="楷体" w:cs="宋体"/>
          <w:bCs/>
          <w:sz w:val="24"/>
          <w:szCs w:val="24"/>
        </w:rPr>
        <w:t>为保证学生就业工作高效、高质量开展，学校招聘会现场还特别安排了就业指导咨询服务，设置了“就业创业政策咨询处”、“简历制作指导咨询台”等服务点，现场为学生们提供简历诊断、面试技巧、生涯规划等方面的指导，帮助学生们在简历、面试中展示个人优势。</w:t>
      </w:r>
      <w:bookmarkEnd w:id="27"/>
    </w:p>
    <w:p>
      <w:pPr>
        <w:rPr>
          <w:rFonts w:hint="eastAsia" w:ascii="Microsoft YaHei UI" w:hAnsi="Microsoft YaHei UI" w:eastAsia="Microsoft YaHei UI" w:cs="Microsoft YaHei UI"/>
          <w:i w:val="0"/>
          <w:iCs w:val="0"/>
          <w:caps w:val="0"/>
          <w:color w:val="222222"/>
          <w:spacing w:val="5"/>
          <w:sz w:val="14"/>
          <w:szCs w:val="14"/>
          <w:lang w:val="en-US" w:eastAsia="zh-CN"/>
        </w:rPr>
      </w:pPr>
      <w:r>
        <w:rPr>
          <w:rFonts w:hint="eastAsia" w:ascii="Microsoft YaHei UI" w:hAnsi="Microsoft YaHei UI" w:eastAsia="Microsoft YaHei UI" w:cs="Microsoft YaHei UI"/>
          <w:i w:val="0"/>
          <w:iCs w:val="0"/>
          <w:caps w:val="0"/>
          <w:color w:val="222222"/>
          <w:spacing w:val="5"/>
          <w:sz w:val="14"/>
          <w:szCs w:val="14"/>
          <w:lang w:val="en-US" w:eastAsia="zh-CN"/>
        </w:rPr>
        <w:drawing>
          <wp:anchor distT="0" distB="0" distL="114300" distR="114300" simplePos="0" relativeHeight="251710464" behindDoc="0" locked="0" layoutInCell="1" allowOverlap="1">
            <wp:simplePos x="0" y="0"/>
            <wp:positionH relativeFrom="column">
              <wp:posOffset>187325</wp:posOffset>
            </wp:positionH>
            <wp:positionV relativeFrom="paragraph">
              <wp:posOffset>72390</wp:posOffset>
            </wp:positionV>
            <wp:extent cx="4838065" cy="3225800"/>
            <wp:effectExtent l="0" t="0" r="635" b="12700"/>
            <wp:wrapTopAndBottom/>
            <wp:docPr id="15" name="图片 15" descr="80fa5c8d71dc79804c85a9b93561cb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0fa5c8d71dc79804c85a9b93561cbc1"/>
                    <pic:cNvPicPr>
                      <a:picLocks noChangeAspect="1"/>
                    </pic:cNvPicPr>
                  </pic:nvPicPr>
                  <pic:blipFill>
                    <a:blip r:embed="rId14"/>
                    <a:stretch>
                      <a:fillRect/>
                    </a:stretch>
                  </pic:blipFill>
                  <pic:spPr>
                    <a:xfrm>
                      <a:off x="0" y="0"/>
                      <a:ext cx="4838065" cy="3225800"/>
                    </a:xfrm>
                    <a:prstGeom prst="rect">
                      <a:avLst/>
                    </a:prstGeom>
                  </pic:spPr>
                </pic:pic>
              </a:graphicData>
            </a:graphic>
          </wp:anchor>
        </w:drawing>
      </w:r>
    </w:p>
    <w:p>
      <w:pPr>
        <w:pStyle w:val="6"/>
        <w:jc w:val="center"/>
        <w:rPr>
          <w:rFonts w:hint="default" w:ascii="Microsoft YaHei UI" w:hAnsi="Microsoft YaHei UI" w:eastAsia="宋体" w:cs="Microsoft YaHei UI"/>
          <w:i w:val="0"/>
          <w:iCs w:val="0"/>
          <w:caps w:val="0"/>
          <w:color w:val="222222"/>
          <w:spacing w:val="5"/>
          <w:sz w:val="14"/>
          <w:szCs w:val="14"/>
          <w:lang w:val="en-US" w:eastAsia="zh-CN"/>
        </w:rPr>
      </w:pPr>
      <w:bookmarkStart w:id="28" w:name="_Toc16690"/>
      <w:r>
        <w:t xml:space="preserve">图 </w:t>
      </w:r>
      <w:r>
        <w:fldChar w:fldCharType="begin"/>
      </w:r>
      <w:r>
        <w:instrText xml:space="preserve"> SEQ 图 \* ARABIC </w:instrText>
      </w:r>
      <w:r>
        <w:fldChar w:fldCharType="separate"/>
      </w:r>
      <w:r>
        <w:t>2</w:t>
      </w:r>
      <w:r>
        <w:fldChar w:fldCharType="end"/>
      </w:r>
      <w:bookmarkStart w:id="29" w:name="_Toc7108"/>
      <w:r>
        <w:rPr>
          <w:rFonts w:hint="eastAsia"/>
          <w:lang w:eastAsia="zh-CN"/>
        </w:rPr>
        <w:t xml:space="preserve">  太湖创意职业技术学院2023届毕业生就业招聘会</w:t>
      </w:r>
      <w:r>
        <w:rPr>
          <w:rFonts w:hint="eastAsia"/>
          <w:lang w:val="en-US" w:eastAsia="zh-CN"/>
        </w:rPr>
        <w:t>现场一</w:t>
      </w:r>
      <w:bookmarkEnd w:id="28"/>
      <w:bookmarkEnd w:id="29"/>
    </w:p>
    <w:p>
      <w:pPr>
        <w:rPr>
          <w:rFonts w:hint="eastAsia"/>
          <w:lang w:val="en-US" w:eastAsia="zh-CN"/>
        </w:rPr>
      </w:pPr>
    </w:p>
    <w:p>
      <w:pPr>
        <w:rPr>
          <w:rFonts w:hint="eastAsia" w:ascii="Microsoft YaHei UI" w:hAnsi="Microsoft YaHei UI" w:eastAsia="Microsoft YaHei UI" w:cs="Microsoft YaHei UI"/>
          <w:i w:val="0"/>
          <w:iCs w:val="0"/>
          <w:caps w:val="0"/>
          <w:color w:val="222222"/>
          <w:spacing w:val="5"/>
          <w:sz w:val="14"/>
          <w:szCs w:val="14"/>
          <w:lang w:val="en-US" w:eastAsia="zh-CN"/>
        </w:rPr>
      </w:pPr>
    </w:p>
    <w:p>
      <w:pPr>
        <w:rPr>
          <w:rFonts w:hint="eastAsia" w:ascii="Microsoft YaHei UI" w:hAnsi="Microsoft YaHei UI" w:eastAsia="Microsoft YaHei UI" w:cs="Microsoft YaHei UI"/>
          <w:i w:val="0"/>
          <w:iCs w:val="0"/>
          <w:caps w:val="0"/>
          <w:color w:val="222222"/>
          <w:spacing w:val="5"/>
          <w:sz w:val="14"/>
          <w:szCs w:val="14"/>
          <w:lang w:val="en-US" w:eastAsia="zh-CN"/>
        </w:rPr>
      </w:pPr>
    </w:p>
    <w:p>
      <w:pPr>
        <w:rPr>
          <w:rFonts w:hint="eastAsia" w:ascii="Microsoft YaHei UI" w:hAnsi="Microsoft YaHei UI" w:eastAsia="Microsoft YaHei UI" w:cs="Microsoft YaHei UI"/>
          <w:i w:val="0"/>
          <w:iCs w:val="0"/>
          <w:caps w:val="0"/>
          <w:color w:val="222222"/>
          <w:spacing w:val="5"/>
          <w:sz w:val="14"/>
          <w:szCs w:val="14"/>
          <w:lang w:val="en-US" w:eastAsia="zh-CN"/>
        </w:rPr>
      </w:pPr>
    </w:p>
    <w:p>
      <w:pPr>
        <w:rPr>
          <w:rFonts w:hint="eastAsia"/>
          <w:lang w:val="en-US" w:eastAsia="zh-CN"/>
        </w:rPr>
      </w:pPr>
      <w:r>
        <w:rPr>
          <w:rFonts w:hint="eastAsia"/>
          <w:lang w:val="en-US" w:eastAsia="zh-CN"/>
        </w:rPr>
        <w:drawing>
          <wp:anchor distT="0" distB="0" distL="114300" distR="114300" simplePos="0" relativeHeight="251711488" behindDoc="0" locked="0" layoutInCell="1" allowOverlap="1">
            <wp:simplePos x="0" y="0"/>
            <wp:positionH relativeFrom="column">
              <wp:posOffset>247650</wp:posOffset>
            </wp:positionH>
            <wp:positionV relativeFrom="paragraph">
              <wp:posOffset>29845</wp:posOffset>
            </wp:positionV>
            <wp:extent cx="4890135" cy="3260725"/>
            <wp:effectExtent l="0" t="0" r="5715" b="15875"/>
            <wp:wrapTopAndBottom/>
            <wp:docPr id="16" name="图片 16" descr="c7457bf13473cd5c430991e2074135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7457bf13473cd5c430991e2074135b3"/>
                    <pic:cNvPicPr>
                      <a:picLocks noChangeAspect="1"/>
                    </pic:cNvPicPr>
                  </pic:nvPicPr>
                  <pic:blipFill>
                    <a:blip r:embed="rId15"/>
                    <a:stretch>
                      <a:fillRect/>
                    </a:stretch>
                  </pic:blipFill>
                  <pic:spPr>
                    <a:xfrm>
                      <a:off x="0" y="0"/>
                      <a:ext cx="4890135" cy="3260725"/>
                    </a:xfrm>
                    <a:prstGeom prst="rect">
                      <a:avLst/>
                    </a:prstGeom>
                  </pic:spPr>
                </pic:pic>
              </a:graphicData>
            </a:graphic>
          </wp:anchor>
        </w:drawing>
      </w:r>
    </w:p>
    <w:p>
      <w:pPr>
        <w:pStyle w:val="6"/>
        <w:jc w:val="center"/>
        <w:rPr>
          <w:rFonts w:hint="default"/>
          <w:lang w:val="en-US"/>
        </w:rPr>
      </w:pPr>
      <w:bookmarkStart w:id="30" w:name="_Toc4828"/>
      <w:r>
        <w:t xml:space="preserve">图 </w:t>
      </w:r>
      <w:r>
        <w:fldChar w:fldCharType="begin"/>
      </w:r>
      <w:r>
        <w:instrText xml:space="preserve"> SEQ 图 \* ARABIC </w:instrText>
      </w:r>
      <w:r>
        <w:fldChar w:fldCharType="separate"/>
      </w:r>
      <w:r>
        <w:t>3</w:t>
      </w:r>
      <w:r>
        <w:fldChar w:fldCharType="end"/>
      </w:r>
      <w:bookmarkStart w:id="31" w:name="_Toc375"/>
      <w:r>
        <w:rPr>
          <w:rFonts w:hint="eastAsia"/>
          <w:lang w:eastAsia="zh-CN"/>
        </w:rPr>
        <w:t xml:space="preserve">  太湖创意职业技术学院2023届毕业生就业招聘会</w:t>
      </w:r>
      <w:r>
        <w:rPr>
          <w:rFonts w:hint="eastAsia"/>
          <w:lang w:val="en-US" w:eastAsia="zh-CN"/>
        </w:rPr>
        <w:t>现场二</w:t>
      </w:r>
      <w:bookmarkEnd w:id="30"/>
      <w:bookmarkEnd w:id="31"/>
    </w:p>
    <w:p>
      <w:pPr>
        <w:pStyle w:val="6"/>
        <w:jc w:val="center"/>
      </w:pPr>
    </w:p>
    <w:p>
      <w:pPr>
        <w:pStyle w:val="6"/>
        <w:jc w:val="center"/>
        <w:rPr>
          <w:rFonts w:hint="eastAsia" w:eastAsia="宋体"/>
          <w:lang w:eastAsia="zh-CN"/>
        </w:rPr>
      </w:pPr>
      <w:bookmarkStart w:id="32" w:name="_Toc14930"/>
      <w:r>
        <w:t xml:space="preserve">表 </w:t>
      </w:r>
      <w:r>
        <w:fldChar w:fldCharType="begin"/>
      </w:r>
      <w:r>
        <w:instrText xml:space="preserve"> SEQ 表 \* ARABIC </w:instrText>
      </w:r>
      <w:r>
        <w:fldChar w:fldCharType="separate"/>
      </w:r>
      <w:r>
        <w:t>7</w:t>
      </w:r>
      <w:r>
        <w:fldChar w:fldCharType="end"/>
      </w:r>
      <w:bookmarkStart w:id="33" w:name="_Toc24986"/>
      <w:bookmarkStart w:id="34" w:name="_Toc16116"/>
      <w:r>
        <w:rPr>
          <w:rFonts w:hint="eastAsia"/>
          <w:lang w:eastAsia="zh-CN"/>
        </w:rPr>
        <w:t xml:space="preserve">  学生发展</w:t>
      </w:r>
      <w:bookmarkEnd w:id="32"/>
      <w:bookmarkEnd w:id="33"/>
      <w:bookmarkEnd w:id="34"/>
    </w:p>
    <w:tbl>
      <w:tblPr>
        <w:tblStyle w:val="13"/>
        <w:tblW w:w="8562" w:type="dxa"/>
        <w:jc w:val="center"/>
        <w:tblLayout w:type="fixed"/>
        <w:tblCellMar>
          <w:top w:w="0" w:type="dxa"/>
          <w:left w:w="108" w:type="dxa"/>
          <w:bottom w:w="0" w:type="dxa"/>
          <w:right w:w="108" w:type="dxa"/>
        </w:tblCellMar>
      </w:tblPr>
      <w:tblGrid>
        <w:gridCol w:w="929"/>
        <w:gridCol w:w="757"/>
        <w:gridCol w:w="435"/>
        <w:gridCol w:w="3390"/>
        <w:gridCol w:w="885"/>
        <w:gridCol w:w="1109"/>
        <w:gridCol w:w="1057"/>
      </w:tblGrid>
      <w:tr>
        <w:tblPrEx>
          <w:tblCellMar>
            <w:top w:w="0" w:type="dxa"/>
            <w:left w:w="108" w:type="dxa"/>
            <w:bottom w:w="0" w:type="dxa"/>
            <w:right w:w="108" w:type="dxa"/>
          </w:tblCellMar>
        </w:tblPrEx>
        <w:trPr>
          <w:trHeight w:val="707" w:hRule="atLeast"/>
          <w:jc w:val="center"/>
        </w:trPr>
        <w:tc>
          <w:tcPr>
            <w:tcW w:w="929" w:type="dxa"/>
            <w:tcBorders>
              <w:top w:val="single" w:color="auto" w:sz="4" w:space="0"/>
              <w:left w:val="single" w:color="auto" w:sz="4" w:space="0"/>
              <w:bottom w:val="single" w:color="auto" w:sz="4" w:space="0"/>
            </w:tcBorders>
          </w:tcPr>
          <w:p>
            <w:pPr>
              <w:snapToGrid w:val="0"/>
              <w:spacing w:before="0" w:after="0" w:line="240" w:lineRule="auto"/>
              <w:jc w:val="center"/>
              <w:rPr>
                <w:rFonts w:hint="eastAsia" w:ascii="宋体" w:hAnsi="宋体" w:cs="宋体"/>
                <w:b/>
                <w:bCs/>
              </w:rPr>
            </w:pPr>
            <w:r>
              <w:rPr>
                <w:rFonts w:hint="eastAsia" w:ascii="宋体" w:hAnsi="宋体" w:cs="宋体"/>
                <w:b/>
                <w:bCs/>
              </w:rPr>
              <w:t>院校代码</w:t>
            </w:r>
          </w:p>
        </w:tc>
        <w:tc>
          <w:tcPr>
            <w:tcW w:w="757" w:type="dxa"/>
            <w:tcBorders>
              <w:top w:val="single" w:color="auto" w:sz="4" w:space="0"/>
              <w:left w:val="single" w:color="auto" w:sz="4" w:space="0"/>
              <w:bottom w:val="single" w:color="auto" w:sz="4" w:space="0"/>
            </w:tcBorders>
            <w:vAlign w:val="center"/>
          </w:tcPr>
          <w:p>
            <w:pPr>
              <w:snapToGrid w:val="0"/>
              <w:spacing w:before="0" w:after="0" w:line="240" w:lineRule="auto"/>
              <w:jc w:val="center"/>
              <w:rPr>
                <w:rFonts w:hint="eastAsia" w:ascii="宋体" w:hAnsi="宋体" w:cs="宋体"/>
                <w:b/>
                <w:bCs/>
              </w:rPr>
            </w:pPr>
            <w:r>
              <w:rPr>
                <w:rFonts w:hint="eastAsia" w:ascii="宋体" w:hAnsi="宋体" w:cs="宋体"/>
                <w:b/>
                <w:bCs/>
              </w:rPr>
              <w:t>院校名称</w:t>
            </w:r>
          </w:p>
        </w:tc>
        <w:tc>
          <w:tcPr>
            <w:tcW w:w="3825" w:type="dxa"/>
            <w:gridSpan w:val="2"/>
            <w:tcBorders>
              <w:top w:val="single" w:color="auto" w:sz="4" w:space="0"/>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b/>
                <w:bCs/>
              </w:rPr>
            </w:pPr>
            <w:r>
              <w:rPr>
                <w:rFonts w:hint="eastAsia" w:ascii="宋体" w:hAnsi="宋体" w:cs="宋体"/>
                <w:b/>
                <w:bCs/>
              </w:rPr>
              <w:t>指标</w:t>
            </w:r>
          </w:p>
        </w:tc>
        <w:tc>
          <w:tcPr>
            <w:tcW w:w="885" w:type="dxa"/>
            <w:tcBorders>
              <w:top w:val="single" w:color="auto" w:sz="4" w:space="0"/>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b/>
                <w:bCs/>
              </w:rPr>
            </w:pPr>
            <w:r>
              <w:rPr>
                <w:rFonts w:hint="eastAsia" w:ascii="宋体" w:hAnsi="宋体" w:cs="宋体"/>
                <w:b/>
                <w:bCs/>
              </w:rPr>
              <w:t>单位</w:t>
            </w:r>
          </w:p>
        </w:tc>
        <w:tc>
          <w:tcPr>
            <w:tcW w:w="1109" w:type="dxa"/>
            <w:tcBorders>
              <w:top w:val="single" w:color="auto" w:sz="4" w:space="0"/>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b/>
                <w:bCs/>
              </w:rPr>
            </w:pPr>
            <w:r>
              <w:rPr>
                <w:rFonts w:hint="eastAsia" w:ascii="宋体" w:hAnsi="宋体" w:cs="宋体"/>
                <w:b/>
                <w:bCs/>
              </w:rPr>
              <w:t>20</w:t>
            </w:r>
            <w:r>
              <w:rPr>
                <w:rFonts w:hint="eastAsia" w:ascii="宋体" w:hAnsi="宋体" w:cs="宋体"/>
                <w:b/>
                <w:bCs/>
                <w:lang w:val="en-US" w:eastAsia="zh-CN"/>
              </w:rPr>
              <w:t>22</w:t>
            </w:r>
            <w:r>
              <w:rPr>
                <w:rFonts w:hint="eastAsia" w:ascii="宋体" w:hAnsi="宋体" w:cs="宋体"/>
                <w:b/>
                <w:bCs/>
              </w:rPr>
              <w:t>年</w:t>
            </w:r>
          </w:p>
        </w:tc>
        <w:tc>
          <w:tcPr>
            <w:tcW w:w="1057" w:type="dxa"/>
            <w:tcBorders>
              <w:top w:val="single" w:color="auto" w:sz="4" w:space="0"/>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b/>
                <w:bCs/>
              </w:rPr>
            </w:pPr>
            <w:r>
              <w:rPr>
                <w:rFonts w:hint="eastAsia" w:ascii="宋体" w:hAnsi="宋体" w:cs="宋体"/>
                <w:b/>
                <w:bCs/>
              </w:rPr>
              <w:t>202</w:t>
            </w:r>
            <w:r>
              <w:rPr>
                <w:rFonts w:hint="eastAsia" w:ascii="宋体" w:hAnsi="宋体" w:cs="宋体"/>
                <w:b/>
                <w:bCs/>
                <w:lang w:val="en-US" w:eastAsia="zh-CN"/>
              </w:rPr>
              <w:t>3</w:t>
            </w:r>
            <w:r>
              <w:rPr>
                <w:rFonts w:hint="eastAsia" w:ascii="宋体" w:hAnsi="宋体" w:cs="宋体"/>
                <w:b/>
                <w:bCs/>
              </w:rPr>
              <w:t>年</w:t>
            </w:r>
          </w:p>
        </w:tc>
      </w:tr>
      <w:tr>
        <w:tblPrEx>
          <w:tblCellMar>
            <w:top w:w="0" w:type="dxa"/>
            <w:left w:w="108" w:type="dxa"/>
            <w:bottom w:w="0" w:type="dxa"/>
            <w:right w:w="108" w:type="dxa"/>
          </w:tblCellMar>
        </w:tblPrEx>
        <w:trPr>
          <w:trHeight w:val="285" w:hRule="atLeast"/>
          <w:jc w:val="center"/>
        </w:trPr>
        <w:tc>
          <w:tcPr>
            <w:tcW w:w="929" w:type="dxa"/>
            <w:vMerge w:val="restart"/>
            <w:tcBorders>
              <w:top w:val="single" w:color="auto" w:sz="4" w:space="0"/>
              <w:left w:val="single" w:color="auto" w:sz="4" w:space="0"/>
              <w:bottom w:val="single" w:color="auto" w:sz="4" w:space="0"/>
            </w:tcBorders>
            <w:vAlign w:val="center"/>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12918</w:t>
            </w:r>
          </w:p>
        </w:tc>
        <w:tc>
          <w:tcPr>
            <w:tcW w:w="757" w:type="dxa"/>
            <w:vMerge w:val="restart"/>
            <w:tcBorders>
              <w:top w:val="single" w:color="auto" w:sz="4" w:space="0"/>
              <w:left w:val="single" w:color="auto" w:sz="4" w:space="0"/>
              <w:bottom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太湖创意职业技术学院</w:t>
            </w:r>
          </w:p>
        </w:tc>
        <w:tc>
          <w:tcPr>
            <w:tcW w:w="435" w:type="dxa"/>
            <w:vMerge w:val="restart"/>
            <w:tcBorders>
              <w:top w:val="nil"/>
              <w:left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1</w:t>
            </w:r>
          </w:p>
        </w:tc>
        <w:tc>
          <w:tcPr>
            <w:tcW w:w="3390"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毕业生人数</w:t>
            </w:r>
          </w:p>
        </w:tc>
        <w:tc>
          <w:tcPr>
            <w:tcW w:w="885"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人</w:t>
            </w:r>
          </w:p>
        </w:tc>
        <w:tc>
          <w:tcPr>
            <w:tcW w:w="1109" w:type="dxa"/>
            <w:tcBorders>
              <w:top w:val="nil"/>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333</w:t>
            </w:r>
          </w:p>
        </w:tc>
        <w:tc>
          <w:tcPr>
            <w:tcW w:w="1057"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515</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vMerge w:val="continue"/>
            <w:tcBorders>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p>
        </w:tc>
        <w:tc>
          <w:tcPr>
            <w:tcW w:w="3390"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其中：就业人数</w:t>
            </w:r>
          </w:p>
        </w:tc>
        <w:tc>
          <w:tcPr>
            <w:tcW w:w="885"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人</w:t>
            </w:r>
          </w:p>
        </w:tc>
        <w:tc>
          <w:tcPr>
            <w:tcW w:w="1109"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cs="宋体"/>
                <w:sz w:val="20"/>
                <w:szCs w:val="20"/>
                <w:lang w:val="en-US"/>
              </w:rPr>
            </w:pPr>
            <w:r>
              <w:rPr>
                <w:rFonts w:hint="eastAsia" w:ascii="宋体" w:hAnsi="宋体" w:cs="宋体"/>
                <w:sz w:val="20"/>
                <w:szCs w:val="20"/>
                <w:lang w:val="en-US" w:eastAsia="zh-CN"/>
              </w:rPr>
              <w:t>291</w:t>
            </w:r>
          </w:p>
        </w:tc>
        <w:tc>
          <w:tcPr>
            <w:tcW w:w="1057"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425</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vMerge w:val="restart"/>
            <w:tcBorders>
              <w:top w:val="nil"/>
              <w:left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2</w:t>
            </w:r>
          </w:p>
        </w:tc>
        <w:tc>
          <w:tcPr>
            <w:tcW w:w="3390"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毕业生就业去向：</w:t>
            </w:r>
          </w:p>
        </w:tc>
        <w:tc>
          <w:tcPr>
            <w:tcW w:w="885"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w:t>
            </w:r>
          </w:p>
        </w:tc>
        <w:tc>
          <w:tcPr>
            <w:tcW w:w="1109"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w:t>
            </w:r>
          </w:p>
        </w:tc>
        <w:tc>
          <w:tcPr>
            <w:tcW w:w="1057"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eastAsia" w:ascii="宋体" w:hAnsi="宋体" w:cs="宋体"/>
                <w:sz w:val="20"/>
                <w:szCs w:val="20"/>
              </w:rPr>
            </w:pP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vMerge w:val="continue"/>
            <w:tcBorders>
              <w:left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p>
        </w:tc>
        <w:tc>
          <w:tcPr>
            <w:tcW w:w="3390"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A类:留在当地就业人数</w:t>
            </w:r>
          </w:p>
        </w:tc>
        <w:tc>
          <w:tcPr>
            <w:tcW w:w="885"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人</w:t>
            </w:r>
          </w:p>
        </w:tc>
        <w:tc>
          <w:tcPr>
            <w:tcW w:w="1109"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107</w:t>
            </w:r>
          </w:p>
        </w:tc>
        <w:tc>
          <w:tcPr>
            <w:tcW w:w="1057"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152</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vMerge w:val="continue"/>
            <w:tcBorders>
              <w:left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p>
        </w:tc>
        <w:tc>
          <w:tcPr>
            <w:tcW w:w="3390"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B类:到西部地区和东北地区就业人数</w:t>
            </w:r>
          </w:p>
        </w:tc>
        <w:tc>
          <w:tcPr>
            <w:tcW w:w="885"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人</w:t>
            </w:r>
          </w:p>
        </w:tc>
        <w:tc>
          <w:tcPr>
            <w:tcW w:w="1109"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3</w:t>
            </w:r>
          </w:p>
        </w:tc>
        <w:tc>
          <w:tcPr>
            <w:tcW w:w="1057"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3</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vMerge w:val="continue"/>
            <w:tcBorders>
              <w:left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p>
        </w:tc>
        <w:tc>
          <w:tcPr>
            <w:tcW w:w="3390"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C类:到中小微企业等基层服务人数</w:t>
            </w:r>
          </w:p>
        </w:tc>
        <w:tc>
          <w:tcPr>
            <w:tcW w:w="885"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人</w:t>
            </w:r>
          </w:p>
        </w:tc>
        <w:tc>
          <w:tcPr>
            <w:tcW w:w="1109"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286</w:t>
            </w:r>
          </w:p>
        </w:tc>
        <w:tc>
          <w:tcPr>
            <w:tcW w:w="1057"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414</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vMerge w:val="continue"/>
            <w:tcBorders>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p>
        </w:tc>
        <w:tc>
          <w:tcPr>
            <w:tcW w:w="3390"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D类:到500强企业就业人数</w:t>
            </w:r>
          </w:p>
        </w:tc>
        <w:tc>
          <w:tcPr>
            <w:tcW w:w="885" w:type="dxa"/>
            <w:tcBorders>
              <w:top w:val="nil"/>
              <w:left w:val="nil"/>
              <w:bottom w:val="single" w:color="auto" w:sz="4" w:space="0"/>
              <w:right w:val="single" w:color="auto" w:sz="4" w:space="0"/>
            </w:tcBorders>
            <w:shd w:val="clear" w:color="auto" w:fill="auto"/>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人</w:t>
            </w:r>
          </w:p>
        </w:tc>
        <w:tc>
          <w:tcPr>
            <w:tcW w:w="1109"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2</w:t>
            </w:r>
          </w:p>
        </w:tc>
        <w:tc>
          <w:tcPr>
            <w:tcW w:w="1057" w:type="dxa"/>
            <w:tcBorders>
              <w:top w:val="nil"/>
              <w:left w:val="nil"/>
              <w:bottom w:val="single" w:color="auto" w:sz="4" w:space="0"/>
              <w:right w:val="single" w:color="auto" w:sz="4" w:space="0"/>
            </w:tcBorders>
            <w:shd w:val="clear" w:color="auto" w:fill="auto"/>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4</w:t>
            </w:r>
          </w:p>
        </w:tc>
      </w:tr>
      <w:tr>
        <w:tblPrEx>
          <w:tblCellMar>
            <w:top w:w="0" w:type="dxa"/>
            <w:left w:w="108" w:type="dxa"/>
            <w:bottom w:w="0" w:type="dxa"/>
            <w:right w:w="108" w:type="dxa"/>
          </w:tblCellMar>
        </w:tblPrEx>
        <w:trPr>
          <w:trHeight w:val="609"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tcBorders>
              <w:top w:val="nil"/>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3</w:t>
            </w:r>
          </w:p>
        </w:tc>
        <w:tc>
          <w:tcPr>
            <w:tcW w:w="3390"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初次</w:t>
            </w:r>
            <w:r>
              <w:rPr>
                <w:rFonts w:hint="eastAsia" w:ascii="宋体" w:hAnsi="宋体" w:cs="宋体"/>
                <w:sz w:val="20"/>
                <w:szCs w:val="20"/>
              </w:rPr>
              <w:t xml:space="preserve">就业率 </w:t>
            </w:r>
          </w:p>
        </w:tc>
        <w:tc>
          <w:tcPr>
            <w:tcW w:w="885"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w:t>
            </w:r>
          </w:p>
        </w:tc>
        <w:tc>
          <w:tcPr>
            <w:tcW w:w="1109"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95.22</w:t>
            </w:r>
          </w:p>
        </w:tc>
        <w:tc>
          <w:tcPr>
            <w:tcW w:w="1057"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86.54</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tcBorders>
              <w:top w:val="nil"/>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4</w:t>
            </w:r>
          </w:p>
        </w:tc>
        <w:tc>
          <w:tcPr>
            <w:tcW w:w="3390"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理工农医类专业相关度</w:t>
            </w:r>
          </w:p>
        </w:tc>
        <w:tc>
          <w:tcPr>
            <w:tcW w:w="885"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w:t>
            </w:r>
          </w:p>
        </w:tc>
        <w:tc>
          <w:tcPr>
            <w:tcW w:w="1109" w:type="dxa"/>
            <w:tcBorders>
              <w:top w:val="nil"/>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77.91</w:t>
            </w:r>
          </w:p>
        </w:tc>
        <w:tc>
          <w:tcPr>
            <w:tcW w:w="1057"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81.17</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tcBorders>
              <w:top w:val="nil"/>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5</w:t>
            </w:r>
          </w:p>
        </w:tc>
        <w:tc>
          <w:tcPr>
            <w:tcW w:w="3390"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月收入</w:t>
            </w:r>
          </w:p>
        </w:tc>
        <w:tc>
          <w:tcPr>
            <w:tcW w:w="885"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元</w:t>
            </w:r>
          </w:p>
        </w:tc>
        <w:tc>
          <w:tcPr>
            <w:tcW w:w="1109" w:type="dxa"/>
            <w:tcBorders>
              <w:top w:val="nil"/>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4500.00</w:t>
            </w:r>
          </w:p>
        </w:tc>
        <w:tc>
          <w:tcPr>
            <w:tcW w:w="1057"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4500.00</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tcBorders>
              <w:top w:val="nil"/>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6</w:t>
            </w:r>
          </w:p>
        </w:tc>
        <w:tc>
          <w:tcPr>
            <w:tcW w:w="3390"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自主创业比例</w:t>
            </w:r>
          </w:p>
        </w:tc>
        <w:tc>
          <w:tcPr>
            <w:tcW w:w="885"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w:t>
            </w:r>
          </w:p>
        </w:tc>
        <w:tc>
          <w:tcPr>
            <w:tcW w:w="1109" w:type="dxa"/>
            <w:tcBorders>
              <w:top w:val="nil"/>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1.60</w:t>
            </w:r>
          </w:p>
        </w:tc>
        <w:tc>
          <w:tcPr>
            <w:tcW w:w="1057"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1.55</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tcBorders>
              <w:top w:val="nil"/>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7</w:t>
            </w:r>
          </w:p>
        </w:tc>
        <w:tc>
          <w:tcPr>
            <w:tcW w:w="3390"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雇主满意度</w:t>
            </w:r>
          </w:p>
        </w:tc>
        <w:tc>
          <w:tcPr>
            <w:tcW w:w="885"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w:t>
            </w:r>
          </w:p>
        </w:tc>
        <w:tc>
          <w:tcPr>
            <w:tcW w:w="1109" w:type="dxa"/>
            <w:tcBorders>
              <w:top w:val="nil"/>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96.72</w:t>
            </w:r>
          </w:p>
        </w:tc>
        <w:tc>
          <w:tcPr>
            <w:tcW w:w="1057"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96.85</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tcBorders>
              <w:top w:val="nil"/>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8</w:t>
            </w:r>
          </w:p>
        </w:tc>
        <w:tc>
          <w:tcPr>
            <w:tcW w:w="3390"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毕业三年职位晋升比例</w:t>
            </w:r>
          </w:p>
        </w:tc>
        <w:tc>
          <w:tcPr>
            <w:tcW w:w="885"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w:t>
            </w:r>
          </w:p>
        </w:tc>
        <w:tc>
          <w:tcPr>
            <w:tcW w:w="1109" w:type="dxa"/>
            <w:tcBorders>
              <w:top w:val="nil"/>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16.78</w:t>
            </w:r>
          </w:p>
        </w:tc>
        <w:tc>
          <w:tcPr>
            <w:tcW w:w="1057"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16.82</w:t>
            </w:r>
          </w:p>
        </w:tc>
      </w:tr>
      <w:tr>
        <w:tblPrEx>
          <w:tblCellMar>
            <w:top w:w="0" w:type="dxa"/>
            <w:left w:w="108" w:type="dxa"/>
            <w:bottom w:w="0" w:type="dxa"/>
            <w:right w:w="108" w:type="dxa"/>
          </w:tblCellMar>
        </w:tblPrEx>
        <w:trPr>
          <w:trHeight w:val="285" w:hRule="atLeast"/>
          <w:jc w:val="center"/>
        </w:trPr>
        <w:tc>
          <w:tcPr>
            <w:tcW w:w="929"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757" w:type="dxa"/>
            <w:vMerge w:val="continue"/>
            <w:tcBorders>
              <w:top w:val="single" w:color="auto" w:sz="4" w:space="0"/>
              <w:left w:val="single" w:color="auto" w:sz="4" w:space="0"/>
              <w:bottom w:val="single" w:color="auto" w:sz="4" w:space="0"/>
            </w:tcBorders>
          </w:tcPr>
          <w:p>
            <w:pPr>
              <w:snapToGrid w:val="0"/>
              <w:spacing w:before="0" w:after="0" w:line="240" w:lineRule="auto"/>
              <w:rPr>
                <w:rFonts w:hint="eastAsia" w:ascii="宋体" w:hAnsi="宋体" w:cs="宋体"/>
                <w:sz w:val="20"/>
                <w:szCs w:val="20"/>
              </w:rPr>
            </w:pPr>
          </w:p>
        </w:tc>
        <w:tc>
          <w:tcPr>
            <w:tcW w:w="435" w:type="dxa"/>
            <w:tcBorders>
              <w:top w:val="nil"/>
              <w:left w:val="single" w:color="auto" w:sz="4" w:space="0"/>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9</w:t>
            </w:r>
          </w:p>
        </w:tc>
        <w:tc>
          <w:tcPr>
            <w:tcW w:w="3390"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母校满意度</w:t>
            </w:r>
          </w:p>
        </w:tc>
        <w:tc>
          <w:tcPr>
            <w:tcW w:w="885" w:type="dxa"/>
            <w:tcBorders>
              <w:top w:val="nil"/>
              <w:left w:val="nil"/>
              <w:bottom w:val="single" w:color="auto" w:sz="4" w:space="0"/>
              <w:right w:val="single" w:color="auto" w:sz="4" w:space="0"/>
            </w:tcBorders>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w:t>
            </w:r>
          </w:p>
        </w:tc>
        <w:tc>
          <w:tcPr>
            <w:tcW w:w="1109" w:type="dxa"/>
            <w:tcBorders>
              <w:top w:val="nil"/>
              <w:left w:val="nil"/>
              <w:bottom w:val="single" w:color="auto" w:sz="4" w:space="0"/>
              <w:right w:val="single" w:color="auto" w:sz="4" w:space="0"/>
            </w:tcBorders>
            <w:noWrap/>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98.33</w:t>
            </w:r>
          </w:p>
        </w:tc>
        <w:tc>
          <w:tcPr>
            <w:tcW w:w="1057" w:type="dxa"/>
            <w:tcBorders>
              <w:top w:val="nil"/>
              <w:left w:val="nil"/>
              <w:bottom w:val="single" w:color="auto" w:sz="4" w:space="0"/>
              <w:right w:val="single" w:color="auto" w:sz="4" w:space="0"/>
            </w:tcBorders>
            <w:noWrap/>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98.54</w:t>
            </w:r>
          </w:p>
        </w:tc>
      </w:tr>
    </w:tbl>
    <w:p>
      <w:pPr>
        <w:keepNext w:val="0"/>
        <w:keepLines w:val="0"/>
        <w:pageBreakBefore w:val="0"/>
        <w:widowControl w:val="0"/>
        <w:kinsoku/>
        <w:wordWrap/>
        <w:overflowPunct/>
        <w:topLinePunct w:val="0"/>
        <w:autoSpaceDE/>
        <w:autoSpaceDN/>
        <w:bidi w:val="0"/>
        <w:adjustRightIn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35" w:name="_Toc12095"/>
      <w:r>
        <w:rPr>
          <w:rFonts w:hint="eastAsia" w:ascii="宋体" w:hAnsi="宋体" w:cs="宋体"/>
          <w:b/>
          <w:bCs/>
          <w:sz w:val="28"/>
          <w:szCs w:val="28"/>
          <w:lang w:val="en-US" w:eastAsia="zh-CN"/>
        </w:rPr>
        <w:t>1.4教师队伍</w:t>
      </w:r>
      <w:bookmarkEnd w:id="35"/>
    </w:p>
    <w:p>
      <w:pPr>
        <w:pStyle w:val="3"/>
        <w:keepNext w:val="0"/>
        <w:keepLines w:val="0"/>
        <w:pageBreakBefore w:val="0"/>
        <w:widowControl w:val="0"/>
        <w:kinsoku/>
        <w:wordWrap/>
        <w:overflowPunct/>
        <w:topLinePunct w:val="0"/>
        <w:autoSpaceDE/>
        <w:autoSpaceDN/>
        <w:bidi w:val="0"/>
        <w:adjustRightInd/>
        <w:snapToGrid w:val="0"/>
        <w:spacing w:before="0" w:after="0" w:line="520" w:lineRule="exact"/>
        <w:ind w:firstLine="56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近年来，学院紧密围绕学院人才培养中心工作，以专业化发展为引领，以提高高素质技术技能型人才的职业能力，改革创新民办人事管理机制，大力开展师资培训，积极推进项目化教学改革，切实转变教育观念，扎实抓好优秀人才引进和青年教师培养等工作，为学院改革发展各项目标的实现提供了师资保障。</w:t>
      </w:r>
    </w:p>
    <w:p>
      <w:pPr>
        <w:keepNext w:val="0"/>
        <w:keepLines w:val="0"/>
        <w:pageBreakBefore w:val="0"/>
        <w:widowControl w:val="0"/>
        <w:kinsoku/>
        <w:wordWrap/>
        <w:overflowPunct/>
        <w:topLinePunct w:val="0"/>
        <w:autoSpaceDE/>
        <w:autoSpaceDN/>
        <w:bidi w:val="0"/>
        <w:adjustRightInd/>
        <w:spacing w:before="0" w:after="0" w:line="520" w:lineRule="exact"/>
        <w:ind w:firstLine="56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教师队伍的现状。学院现在校生3104人，校内专任教师153人，外聘61人，经测算，生师比为17.41：1。在153名校内专任教师中，高级职称9名，占比5.88%；中级职称78人，占比50.98%；初级职称53人，占比34.64%；未定职称13人，占比8.50%。专任教师中硕士及以上学位教师96名，占专任教师总数的62.75%。专任教师中，具有双师素质专任教师45人，占校内专任教师总数的29.41%。</w:t>
      </w:r>
    </w:p>
    <w:p>
      <w:pPr>
        <w:keepNext w:val="0"/>
        <w:keepLines w:val="0"/>
        <w:pageBreakBefore w:val="0"/>
        <w:widowControl w:val="0"/>
        <w:kinsoku/>
        <w:wordWrap/>
        <w:overflowPunct/>
        <w:topLinePunct w:val="0"/>
        <w:autoSpaceDE/>
        <w:autoSpaceDN/>
        <w:bidi w:val="0"/>
        <w:adjustRightIn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36" w:name="_Toc16157"/>
      <w:r>
        <w:rPr>
          <w:rFonts w:hint="eastAsia" w:ascii="宋体" w:hAnsi="宋体" w:cs="宋体"/>
          <w:b/>
          <w:bCs/>
          <w:sz w:val="28"/>
          <w:szCs w:val="28"/>
          <w:lang w:val="en-US" w:eastAsia="zh-CN"/>
        </w:rPr>
        <w:t>1.5社会服务</w:t>
      </w:r>
      <w:bookmarkEnd w:id="36"/>
    </w:p>
    <w:p>
      <w:pPr>
        <w:keepNext w:val="0"/>
        <w:keepLines w:val="0"/>
        <w:pageBreakBefore w:val="0"/>
        <w:widowControl w:val="0"/>
        <w:kinsoku/>
        <w:wordWrap/>
        <w:overflowPunct/>
        <w:topLinePunct w:val="0"/>
        <w:autoSpaceDE/>
        <w:autoSpaceDN/>
        <w:bidi w:val="0"/>
        <w:adjustRightIn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院主动适应就业市场对人才的需求，以培养生产建设急需的高素质技术技能人才为目标，本着资源共享、共赢互利的原则，发挥各自优势，强化校企合作，推进产教融合。依托创意学院千企共融合作平台、太湖创意职业技术学院职业教育集团（筹建中），推进校企对接机制，健全学校主体、行业指导、企业参与的专业建设机制，引导和调动行业、企业以及社会力量参与专业建设，与企业（行业）共同制订专业人才培养方案，共建流动学校、流动课堂，实现专业教学要求与企业（行业）岗位技能要求对接，课程内容与职业标准对接。引入企业新技术、新工艺，校企合作开发专业课程和教学资源。积极试行多学期、分段式等灵活多样的教学组织形式，将学校的教学过程和企业的生产过程紧密结合，校企共同完成教学任务。</w:t>
      </w:r>
    </w:p>
    <w:p>
      <w:pPr>
        <w:keepNext w:val="0"/>
        <w:keepLines w:val="0"/>
        <w:pageBreakBefore w:val="0"/>
        <w:widowControl w:val="0"/>
        <w:kinsoku/>
        <w:wordWrap/>
        <w:overflowPunct/>
        <w:topLinePunct w:val="0"/>
        <w:autoSpaceDE/>
        <w:autoSpaceDN/>
        <w:bidi w:val="0"/>
        <w:adjustRightIn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坚持走校企合作、产教融合之路，近五年来，学院新增与60家企业合作建设校外实习、实践、就业基地，其中深度合作基地10家，聘请行业、企业专家30余位作为学院和各系的专业建设委员会或教学指导委员会成员，参与学院的专业与课程建设、人才培养方案编制等工作，2020年成功组建了千企共融平台，为学院的拓展铺平了道路。学校与共融平台企业共建校外导师专家库，入库专家总数达130余人。</w:t>
      </w:r>
    </w:p>
    <w:p>
      <w:pPr>
        <w:pStyle w:val="6"/>
        <w:spacing w:line="240" w:lineRule="auto"/>
        <w:rPr>
          <w:rFonts w:hint="eastAsia" w:ascii="楷体" w:hAnsi="楷体" w:eastAsia="楷体" w:cs="宋体"/>
          <w:bCs/>
          <w:sz w:val="24"/>
          <w:szCs w:val="24"/>
        </w:rPr>
      </w:pPr>
      <w:bookmarkStart w:id="37" w:name="_Toc21004"/>
      <w:bookmarkStart w:id="38" w:name="_Toc15361"/>
      <w:r>
        <w:t xml:space="preserve">案例 1- </w:t>
      </w:r>
      <w:r>
        <w:fldChar w:fldCharType="begin"/>
      </w:r>
      <w:r>
        <w:instrText xml:space="preserve"> SEQ 案例_1- \* ARABIC </w:instrText>
      </w:r>
      <w:r>
        <w:fldChar w:fldCharType="separate"/>
      </w:r>
      <w:r>
        <w:t>3</w:t>
      </w:r>
      <w:r>
        <w:fldChar w:fldCharType="end"/>
      </w:r>
      <w:r>
        <w:rPr>
          <w:rFonts w:hint="eastAsia"/>
          <w:lang w:eastAsia="zh-CN"/>
        </w:rPr>
        <w:t xml:space="preserve">  【太湖创意职业技术学院双元制校企合作联合人才培养项目】</w:t>
      </w:r>
      <w:r>
        <w:rPr>
          <w:rFonts w:hint="eastAsia" w:ascii="楷体" w:hAnsi="楷体" w:eastAsia="楷体" w:cs="宋体"/>
          <w:bCs/>
          <w:sz w:val="24"/>
          <w:szCs w:val="24"/>
        </w:rPr>
        <w:t>太湖创意职业技术学院与无锡合一精机公司合作的“双元制校企合作联合人才培养项目”，合一公司整体迁入创意学院实验楼，深度参与机电类专业的人才培养过程，该项目被认定为无锡市校企合作示范组合。这是学生在工厂实习。</w:t>
      </w:r>
      <w:bookmarkEnd w:id="37"/>
      <w:bookmarkEnd w:id="38"/>
    </w:p>
    <w:p>
      <w:pPr>
        <w:spacing w:before="0" w:after="0" w:line="240" w:lineRule="auto"/>
        <w:ind w:firstLine="440" w:firstLineChars="200"/>
        <w:rPr>
          <w:sz w:val="22"/>
        </w:rPr>
      </w:pPr>
      <w:r>
        <w:rPr>
          <w:sz w:val="22"/>
        </w:rPr>
        <w:drawing>
          <wp:anchor distT="0" distB="0" distL="114300" distR="114300" simplePos="0" relativeHeight="251659264" behindDoc="0" locked="0" layoutInCell="1" allowOverlap="1">
            <wp:simplePos x="0" y="0"/>
            <wp:positionH relativeFrom="column">
              <wp:posOffset>234315</wp:posOffset>
            </wp:positionH>
            <wp:positionV relativeFrom="paragraph">
              <wp:posOffset>76200</wp:posOffset>
            </wp:positionV>
            <wp:extent cx="4934585" cy="3289935"/>
            <wp:effectExtent l="0" t="0" r="18415" b="5715"/>
            <wp:wrapTopAndBottom/>
            <wp:docPr id="3" name="图片 3" descr="微信图片_2021110915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11109153818"/>
                    <pic:cNvPicPr>
                      <a:picLocks noChangeAspect="1"/>
                    </pic:cNvPicPr>
                  </pic:nvPicPr>
                  <pic:blipFill>
                    <a:blip r:embed="rId16"/>
                    <a:stretch>
                      <a:fillRect/>
                    </a:stretch>
                  </pic:blipFill>
                  <pic:spPr>
                    <a:xfrm>
                      <a:off x="0" y="0"/>
                      <a:ext cx="4934585" cy="3289935"/>
                    </a:xfrm>
                    <a:prstGeom prst="rect">
                      <a:avLst/>
                    </a:prstGeom>
                  </pic:spPr>
                </pic:pic>
              </a:graphicData>
            </a:graphic>
          </wp:anchor>
        </w:drawing>
      </w:r>
    </w:p>
    <w:p>
      <w:pPr>
        <w:pStyle w:val="6"/>
        <w:spacing w:before="0" w:after="0" w:line="240" w:lineRule="auto"/>
        <w:ind w:firstLine="400" w:firstLineChars="200"/>
        <w:jc w:val="center"/>
        <w:rPr>
          <w:rFonts w:hint="eastAsia" w:eastAsia="宋体"/>
          <w:sz w:val="22"/>
          <w:lang w:eastAsia="zh-CN"/>
        </w:rPr>
      </w:pPr>
      <w:bookmarkStart w:id="39" w:name="_Toc9839"/>
      <w:r>
        <w:t xml:space="preserve">图 </w:t>
      </w:r>
      <w:r>
        <w:fldChar w:fldCharType="begin"/>
      </w:r>
      <w:r>
        <w:instrText xml:space="preserve"> SEQ 图 \* ARABIC </w:instrText>
      </w:r>
      <w:r>
        <w:fldChar w:fldCharType="separate"/>
      </w:r>
      <w:r>
        <w:t>4</w:t>
      </w:r>
      <w:r>
        <w:fldChar w:fldCharType="end"/>
      </w:r>
      <w:bookmarkStart w:id="40" w:name="_Toc11067"/>
      <w:r>
        <w:rPr>
          <w:rFonts w:hint="eastAsia"/>
          <w:lang w:eastAsia="zh-CN"/>
        </w:rPr>
        <w:t xml:space="preserve">  太湖创意职业技术学院双元制校企合作联合人才培养项目实训场景</w:t>
      </w:r>
      <w:bookmarkEnd w:id="39"/>
      <w:bookmarkEnd w:id="40"/>
    </w:p>
    <w:p>
      <w:pPr>
        <w:spacing w:before="0" w:after="0" w:line="240" w:lineRule="auto"/>
        <w:ind w:firstLine="560"/>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bookmarkStart w:id="41" w:name="_Toc1862"/>
      <w:r>
        <w:rPr>
          <w:rFonts w:hint="eastAsia" w:ascii="宋体" w:hAnsi="宋体" w:cs="宋体"/>
          <w:b/>
          <w:bCs/>
          <w:sz w:val="28"/>
          <w:szCs w:val="28"/>
          <w:lang w:val="en-US" w:eastAsia="zh-CN"/>
        </w:rPr>
        <w:t>2.人才培养</w:t>
      </w:r>
      <w:bookmarkEnd w:id="41"/>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42" w:name="_Toc306"/>
      <w:r>
        <w:rPr>
          <w:rFonts w:hint="eastAsia" w:ascii="宋体" w:hAnsi="宋体" w:cs="宋体"/>
          <w:b/>
          <w:bCs/>
          <w:sz w:val="28"/>
          <w:szCs w:val="28"/>
          <w:lang w:val="en-US" w:eastAsia="zh-CN"/>
        </w:rPr>
        <w:t>2.1立德树人</w:t>
      </w:r>
      <w:bookmarkEnd w:id="42"/>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学校注重培育和践行社会主义核心价值观。弘扬中华优秀传统文化，加强对学生进行爱祖国、爱劳动、爱学习的“三爱”教育，根据新时期的特点，强化培养学生高尚的道德情操、扎实的科学文化素质、健康的身心、良好的审美情趣的同时，使学生具有中华文化底蕴、中国特色社会主义共同理想和国际视野，力求使立德树人的方向性、民族性和时代性更加鲜明，使学生具有较强的“创新精神、实践能力和社会责任感“，成为社会主义合格建设者和可靠接班人。</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学校以深化课程改革作为工作切入点。课程是教育思想、教育目标和教育内容的主要载体，是学校教育教学活动的主要途径。学校从课程改革入手，不断修正人才培养的体制、机制，系统化进行课程建设，把立德树人落到实处。坚持做到三点：第一，是坚持正确的育人导向。我们注意抓好两个教育：一是加强社会主义核心价值观教育；二是加强和完善中华优秀传统文化教育。第二，把握正确的教育价值取向。学校奉行“为每个学生提供适合的教育”，在坚持高学业水平要求的同时，加入特色、多样、选择和适合这样一些理念，构建相对完整的教育质量观。第三，积极探索人才培养模式的创新。学校把“创意能力+专业能力”作为培养宗旨，把创意思维与训练、创意活动与实践融入人才培养全过程，努力培养创新人才。</w:t>
      </w: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
      <w:pPr>
        <w:pStyle w:val="6"/>
        <w:spacing w:line="240" w:lineRule="auto"/>
        <w:rPr>
          <w:rFonts w:hint="eastAsia" w:ascii="楷体" w:hAnsi="楷体" w:eastAsia="楷体" w:cs="宋体"/>
          <w:bCs/>
          <w:kern w:val="2"/>
          <w:sz w:val="24"/>
          <w:szCs w:val="24"/>
          <w:lang w:val="en-US" w:eastAsia="zh-CN" w:bidi="ar-SA"/>
        </w:rPr>
      </w:pPr>
      <w:bookmarkStart w:id="43" w:name="_Toc20902"/>
      <w:r>
        <w:t xml:space="preserve">案例 2- </w:t>
      </w:r>
      <w:r>
        <w:fldChar w:fldCharType="begin"/>
      </w:r>
      <w:r>
        <w:instrText xml:space="preserve"> SEQ 案例_2- \* ARABIC </w:instrText>
      </w:r>
      <w:r>
        <w:fldChar w:fldCharType="separate"/>
      </w:r>
      <w:r>
        <w:t>1</w:t>
      </w:r>
      <w:r>
        <w:fldChar w:fldCharType="end"/>
      </w:r>
      <w:r>
        <w:rPr>
          <w:rFonts w:hint="eastAsia"/>
          <w:lang w:eastAsia="zh-CN"/>
        </w:rPr>
        <w:t xml:space="preserve">  【</w:t>
      </w:r>
      <w:r>
        <w:rPr>
          <w:rFonts w:hint="eastAsia"/>
          <w:lang w:val="en-US" w:eastAsia="zh-CN"/>
        </w:rPr>
        <w:t>太湖创意职业技术学院开展</w:t>
      </w:r>
      <w:r>
        <w:rPr>
          <w:rFonts w:hint="eastAsia"/>
          <w:lang w:eastAsia="zh-CN"/>
        </w:rPr>
        <w:t>资助诚信教育主题活动】</w:t>
      </w:r>
      <w:r>
        <w:rPr>
          <w:rFonts w:hint="eastAsia" w:ascii="楷体" w:hAnsi="楷体" w:eastAsia="楷体" w:cs="宋体"/>
          <w:bCs/>
          <w:kern w:val="2"/>
          <w:sz w:val="24"/>
          <w:szCs w:val="24"/>
          <w:lang w:val="en-US" w:eastAsia="zh-CN" w:bidi="ar-SA"/>
        </w:rPr>
        <w:t>2023年是全面落实党的二十大精神开局之年，为深入贯彻落实党的二十大精神和习近平新时代中国特色社会主义思想，大力拓展资助育人新路径，深入开展诚信、励志和社会责任感教育，为受助学生搭建培根铸魂、启智增慧、成长成才平台，根据全国学生资助管理中心《关于大力开展2023年高校学生资助诚信教育主题活动的通知（教助中心〔2023〕13号）文件精神，学校开展2023年资助诚信教育主题活动，帮助贷款学生树立诚信观念、增强法律意识，将诚实守信的品质转化为自觉素养与行为。</w:t>
      </w:r>
      <w:bookmarkEnd w:id="43"/>
    </w:p>
    <w:p>
      <w:pPr>
        <w:rPr>
          <w:rFonts w:hint="eastAsia" w:ascii="楷体" w:hAnsi="楷体" w:eastAsia="楷体" w:cs="宋体"/>
          <w:bCs/>
          <w:kern w:val="2"/>
          <w:sz w:val="24"/>
          <w:szCs w:val="24"/>
          <w:lang w:val="en-US" w:eastAsia="zh-CN" w:bidi="ar-SA"/>
        </w:rPr>
      </w:pPr>
      <w:r>
        <w:rPr>
          <w:rFonts w:hint="eastAsia" w:ascii="楷体" w:hAnsi="楷体" w:eastAsia="楷体" w:cs="宋体"/>
          <w:bCs/>
          <w:kern w:val="2"/>
          <w:sz w:val="24"/>
          <w:szCs w:val="24"/>
          <w:lang w:val="en-US" w:eastAsia="zh-CN" w:bidi="ar-SA"/>
        </w:rPr>
        <w:drawing>
          <wp:anchor distT="0" distB="0" distL="114300" distR="114300" simplePos="0" relativeHeight="251668480" behindDoc="0" locked="0" layoutInCell="1" allowOverlap="1">
            <wp:simplePos x="0" y="0"/>
            <wp:positionH relativeFrom="column">
              <wp:posOffset>326390</wp:posOffset>
            </wp:positionH>
            <wp:positionV relativeFrom="paragraph">
              <wp:posOffset>45720</wp:posOffset>
            </wp:positionV>
            <wp:extent cx="4596130" cy="3255645"/>
            <wp:effectExtent l="0" t="0" r="13970" b="1905"/>
            <wp:wrapTopAndBottom/>
            <wp:docPr id="25" name="图片 25" descr="a6e666be9c20ef11467c0dbc9e4aa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a6e666be9c20ef11467c0dbc9e4aa707"/>
                    <pic:cNvPicPr>
                      <a:picLocks noChangeAspect="1"/>
                    </pic:cNvPicPr>
                  </pic:nvPicPr>
                  <pic:blipFill>
                    <a:blip r:embed="rId17"/>
                    <a:stretch>
                      <a:fillRect/>
                    </a:stretch>
                  </pic:blipFill>
                  <pic:spPr>
                    <a:xfrm>
                      <a:off x="0" y="0"/>
                      <a:ext cx="4596130" cy="3255645"/>
                    </a:xfrm>
                    <a:prstGeom prst="rect">
                      <a:avLst/>
                    </a:prstGeom>
                  </pic:spPr>
                </pic:pic>
              </a:graphicData>
            </a:graphic>
          </wp:anchor>
        </w:drawing>
      </w:r>
    </w:p>
    <w:p>
      <w:pPr>
        <w:pStyle w:val="6"/>
        <w:jc w:val="center"/>
        <w:rPr>
          <w:rFonts w:hint="default" w:ascii="楷体" w:hAnsi="楷体" w:eastAsia="宋体" w:cs="宋体"/>
          <w:bCs/>
          <w:kern w:val="2"/>
          <w:sz w:val="24"/>
          <w:szCs w:val="24"/>
          <w:lang w:val="en-US" w:eastAsia="zh-CN" w:bidi="ar-SA"/>
        </w:rPr>
      </w:pPr>
      <w:bookmarkStart w:id="44" w:name="_Toc9639"/>
      <w:r>
        <w:t xml:space="preserve">图 </w:t>
      </w:r>
      <w:r>
        <w:fldChar w:fldCharType="begin"/>
      </w:r>
      <w:r>
        <w:instrText xml:space="preserve"> SEQ 图 \* ARABIC </w:instrText>
      </w:r>
      <w:r>
        <w:fldChar w:fldCharType="separate"/>
      </w:r>
      <w:r>
        <w:t>5</w:t>
      </w:r>
      <w:r>
        <w:fldChar w:fldCharType="end"/>
      </w:r>
      <w:bookmarkStart w:id="45" w:name="_Toc2498"/>
      <w:r>
        <w:rPr>
          <w:rFonts w:hint="eastAsia"/>
          <w:lang w:eastAsia="zh-CN"/>
        </w:rPr>
        <w:t xml:space="preserve">  太湖创意职业技术学院开展资助诚信教育主题活动</w:t>
      </w:r>
      <w:r>
        <w:rPr>
          <w:rFonts w:hint="eastAsia"/>
          <w:lang w:val="en-US" w:eastAsia="zh-CN"/>
        </w:rPr>
        <w:t>现场一</w:t>
      </w:r>
      <w:bookmarkEnd w:id="44"/>
      <w:bookmarkEnd w:id="45"/>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hint="eastAsia" w:ascii="微软雅黑" w:hAnsi="微软雅黑" w:eastAsia="微软雅黑" w:cs="微软雅黑"/>
          <w:i w:val="0"/>
          <w:iCs w:val="0"/>
          <w:caps w:val="0"/>
          <w:color w:val="3E3E3E"/>
          <w:spacing w:val="15"/>
          <w:sz w:val="22"/>
          <w:szCs w:val="22"/>
          <w:shd w:val="clear" w:fill="FFF4E9"/>
          <w:lang w:eastAsia="zh-CN"/>
        </w:rPr>
      </w:pPr>
      <w:r>
        <w:rPr>
          <w:rFonts w:hint="eastAsia" w:ascii="微软雅黑" w:hAnsi="微软雅黑" w:eastAsia="微软雅黑" w:cs="微软雅黑"/>
          <w:i w:val="0"/>
          <w:iCs w:val="0"/>
          <w:caps w:val="0"/>
          <w:color w:val="3E3E3E"/>
          <w:spacing w:val="15"/>
          <w:sz w:val="22"/>
          <w:szCs w:val="22"/>
          <w:shd w:val="clear" w:fill="FFF4E9"/>
          <w:lang w:eastAsia="zh-CN"/>
        </w:rPr>
        <w:drawing>
          <wp:anchor distT="0" distB="0" distL="114300" distR="114300" simplePos="0" relativeHeight="251669504" behindDoc="0" locked="0" layoutInCell="1" allowOverlap="1">
            <wp:simplePos x="0" y="0"/>
            <wp:positionH relativeFrom="column">
              <wp:posOffset>387350</wp:posOffset>
            </wp:positionH>
            <wp:positionV relativeFrom="paragraph">
              <wp:posOffset>78105</wp:posOffset>
            </wp:positionV>
            <wp:extent cx="4606290" cy="3455035"/>
            <wp:effectExtent l="0" t="0" r="3810" b="12065"/>
            <wp:wrapNone/>
            <wp:docPr id="26" name="图片 26" descr="ca7d93f4b4624b41dd76d8d24ab1c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a7d93f4b4624b41dd76d8d24ab1c794"/>
                    <pic:cNvPicPr>
                      <a:picLocks noChangeAspect="1"/>
                    </pic:cNvPicPr>
                  </pic:nvPicPr>
                  <pic:blipFill>
                    <a:blip r:embed="rId18"/>
                    <a:stretch>
                      <a:fillRect/>
                    </a:stretch>
                  </pic:blipFill>
                  <pic:spPr>
                    <a:xfrm>
                      <a:off x="0" y="0"/>
                      <a:ext cx="4606290" cy="3455035"/>
                    </a:xfrm>
                    <a:prstGeom prst="rect">
                      <a:avLst/>
                    </a:prstGeom>
                  </pic:spPr>
                </pic:pic>
              </a:graphicData>
            </a:graphic>
          </wp:anchor>
        </w:drawing>
      </w: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pStyle w:val="6"/>
        <w:jc w:val="center"/>
        <w:rPr>
          <w:rFonts w:hint="default" w:ascii="微软雅黑" w:hAnsi="微软雅黑" w:eastAsia="宋体" w:cs="微软雅黑"/>
          <w:i w:val="0"/>
          <w:iCs w:val="0"/>
          <w:caps w:val="0"/>
          <w:color w:val="3E3E3E"/>
          <w:spacing w:val="15"/>
          <w:sz w:val="22"/>
          <w:szCs w:val="22"/>
          <w:shd w:val="clear" w:fill="FFF4E9"/>
          <w:lang w:val="en-US" w:eastAsia="zh-CN"/>
        </w:rPr>
      </w:pPr>
      <w:bookmarkStart w:id="46" w:name="_Toc10534"/>
      <w:r>
        <w:t xml:space="preserve">图 </w:t>
      </w:r>
      <w:r>
        <w:fldChar w:fldCharType="begin"/>
      </w:r>
      <w:r>
        <w:instrText xml:space="preserve"> SEQ 图 \* ARABIC </w:instrText>
      </w:r>
      <w:r>
        <w:fldChar w:fldCharType="separate"/>
      </w:r>
      <w:r>
        <w:t>6</w:t>
      </w:r>
      <w:r>
        <w:fldChar w:fldCharType="end"/>
      </w:r>
      <w:bookmarkStart w:id="47" w:name="_Toc30919"/>
      <w:r>
        <w:rPr>
          <w:rFonts w:hint="eastAsia"/>
          <w:lang w:eastAsia="zh-CN"/>
        </w:rPr>
        <w:t xml:space="preserve">  太湖创意职业技术学院开展资助诚信教育主题活动</w:t>
      </w:r>
      <w:r>
        <w:rPr>
          <w:rFonts w:hint="eastAsia"/>
          <w:lang w:val="en-US" w:eastAsia="zh-CN"/>
        </w:rPr>
        <w:t>现场二</w:t>
      </w:r>
      <w:bookmarkEnd w:id="46"/>
      <w:bookmarkEnd w:id="47"/>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rPr>
          <w:rFonts w:ascii="微软雅黑" w:hAnsi="微软雅黑" w:eastAsia="微软雅黑" w:cs="微软雅黑"/>
          <w:i w:val="0"/>
          <w:iCs w:val="0"/>
          <w:caps w:val="0"/>
          <w:color w:val="3E3E3E"/>
          <w:spacing w:val="15"/>
          <w:sz w:val="22"/>
          <w:szCs w:val="22"/>
          <w:shd w:val="clear" w:fill="FFF4E9"/>
        </w:rPr>
      </w:pPr>
    </w:p>
    <w:p>
      <w:pPr>
        <w:pStyle w:val="6"/>
        <w:spacing w:line="240" w:lineRule="auto"/>
      </w:pPr>
    </w:p>
    <w:p>
      <w:pPr>
        <w:pStyle w:val="6"/>
        <w:spacing w:line="240" w:lineRule="auto"/>
        <w:rPr>
          <w:rFonts w:hint="eastAsia" w:ascii="楷体" w:hAnsi="楷体" w:eastAsia="楷体" w:cs="宋体"/>
          <w:bCs/>
          <w:kern w:val="2"/>
          <w:sz w:val="24"/>
          <w:szCs w:val="24"/>
          <w:lang w:val="en-US" w:eastAsia="zh-CN" w:bidi="ar-SA"/>
        </w:rPr>
      </w:pPr>
      <w:bookmarkStart w:id="48" w:name="_Toc24280"/>
      <w:r>
        <w:rPr>
          <w:rFonts w:hint="eastAsia" w:ascii="微软雅黑" w:hAnsi="微软雅黑" w:eastAsia="微软雅黑" w:cs="微软雅黑"/>
          <w:i w:val="0"/>
          <w:iCs w:val="0"/>
          <w:caps w:val="0"/>
          <w:color w:val="3E3E3E"/>
          <w:spacing w:val="15"/>
          <w:sz w:val="22"/>
          <w:szCs w:val="22"/>
          <w:shd w:val="clear" w:fill="FFF4E9"/>
          <w:lang w:eastAsia="zh-CN"/>
        </w:rPr>
        <w:drawing>
          <wp:anchor distT="0" distB="0" distL="114300" distR="114300" simplePos="0" relativeHeight="251670528" behindDoc="0" locked="0" layoutInCell="1" allowOverlap="1">
            <wp:simplePos x="0" y="0"/>
            <wp:positionH relativeFrom="column">
              <wp:posOffset>361315</wp:posOffset>
            </wp:positionH>
            <wp:positionV relativeFrom="paragraph">
              <wp:posOffset>1031875</wp:posOffset>
            </wp:positionV>
            <wp:extent cx="4619625" cy="3175000"/>
            <wp:effectExtent l="0" t="0" r="9525" b="6350"/>
            <wp:wrapNone/>
            <wp:docPr id="27" name="图片 27" descr="d93e58ee7335a37fc688820525004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93e58ee7335a37fc6888205250040a9"/>
                    <pic:cNvPicPr>
                      <a:picLocks noChangeAspect="1"/>
                    </pic:cNvPicPr>
                  </pic:nvPicPr>
                  <pic:blipFill>
                    <a:blip r:embed="rId19"/>
                    <a:stretch>
                      <a:fillRect/>
                    </a:stretch>
                  </pic:blipFill>
                  <pic:spPr>
                    <a:xfrm>
                      <a:off x="0" y="0"/>
                      <a:ext cx="4619625" cy="3175000"/>
                    </a:xfrm>
                    <a:prstGeom prst="rect">
                      <a:avLst/>
                    </a:prstGeom>
                  </pic:spPr>
                </pic:pic>
              </a:graphicData>
            </a:graphic>
          </wp:anchor>
        </w:drawing>
      </w:r>
      <w:r>
        <w:t xml:space="preserve">案例 2- </w:t>
      </w:r>
      <w:r>
        <w:fldChar w:fldCharType="begin"/>
      </w:r>
      <w:r>
        <w:instrText xml:space="preserve"> SEQ 案例_2- \* ARABIC </w:instrText>
      </w:r>
      <w:r>
        <w:fldChar w:fldCharType="separate"/>
      </w:r>
      <w:r>
        <w:t>2</w:t>
      </w:r>
      <w:r>
        <w:fldChar w:fldCharType="end"/>
      </w:r>
      <w:r>
        <w:rPr>
          <w:rFonts w:hint="eastAsia"/>
          <w:lang w:eastAsia="zh-CN"/>
        </w:rPr>
        <w:t xml:space="preserve">  【</w:t>
      </w:r>
      <w:r>
        <w:rPr>
          <w:rFonts w:hint="eastAsia"/>
          <w:lang w:val="en-US" w:eastAsia="zh-CN"/>
        </w:rPr>
        <w:t>太湖创意职业技术学院</w:t>
      </w:r>
      <w:r>
        <w:rPr>
          <w:rFonts w:hint="eastAsia"/>
          <w:lang w:eastAsia="zh-CN"/>
        </w:rPr>
        <w:t>开展反诈主题班会】</w:t>
      </w:r>
      <w:r>
        <w:rPr>
          <w:rFonts w:hint="eastAsia" w:ascii="楷体" w:hAnsi="楷体" w:eastAsia="楷体" w:cs="宋体"/>
          <w:bCs/>
          <w:kern w:val="2"/>
          <w:sz w:val="24"/>
          <w:szCs w:val="24"/>
          <w:lang w:val="en-US" w:eastAsia="zh-CN" w:bidi="ar-SA"/>
        </w:rPr>
        <w:t>学生工作处安排辅导员开展反诈主题班会，引导学生提高警惕，保护好个人身份信息，树立个人良好信用记录。所有学生阅读并签署“预防电信网络诈骗告知书”，提高自我保护意识。属地派出所民警同志与学校开展全校性防范网络电信诈骗签字活动，2000多名学生纷纷来到签名墙下，签字承诺让反诈意识时刻萦绕在脑海中。</w:t>
      </w:r>
      <w:bookmarkEnd w:id="48"/>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pStyle w:val="6"/>
        <w:jc w:val="center"/>
        <w:rPr>
          <w:rFonts w:hint="default" w:ascii="微软雅黑" w:hAnsi="微软雅黑" w:eastAsia="宋体" w:cs="微软雅黑"/>
          <w:i w:val="0"/>
          <w:iCs w:val="0"/>
          <w:caps w:val="0"/>
          <w:color w:val="3E3E3E"/>
          <w:spacing w:val="15"/>
          <w:sz w:val="22"/>
          <w:szCs w:val="22"/>
          <w:shd w:val="clear" w:fill="FFF4E9"/>
          <w:lang w:val="en-US" w:eastAsia="zh-CN"/>
        </w:rPr>
      </w:pPr>
      <w:bookmarkStart w:id="49" w:name="_Toc290"/>
      <w:r>
        <w:t xml:space="preserve">图 </w:t>
      </w:r>
      <w:r>
        <w:fldChar w:fldCharType="begin"/>
      </w:r>
      <w:r>
        <w:instrText xml:space="preserve"> SEQ 图 \* ARABIC </w:instrText>
      </w:r>
      <w:r>
        <w:fldChar w:fldCharType="separate"/>
      </w:r>
      <w:r>
        <w:t>7</w:t>
      </w:r>
      <w:r>
        <w:fldChar w:fldCharType="end"/>
      </w:r>
      <w:bookmarkStart w:id="50" w:name="_Toc25327"/>
      <w:r>
        <w:rPr>
          <w:rFonts w:hint="eastAsia"/>
          <w:lang w:eastAsia="zh-CN"/>
        </w:rPr>
        <w:t xml:space="preserve">  太湖创意职业技术学院开展反诈主题班会</w:t>
      </w:r>
      <w:r>
        <w:rPr>
          <w:rFonts w:hint="eastAsia"/>
          <w:lang w:val="en-US" w:eastAsia="zh-CN"/>
        </w:rPr>
        <w:t>现场一</w:t>
      </w:r>
      <w:bookmarkEnd w:id="49"/>
      <w:bookmarkEnd w:id="50"/>
    </w:p>
    <w:p>
      <w:pPr>
        <w:rPr>
          <w:rFonts w:hint="eastAsia" w:ascii="微软雅黑" w:hAnsi="微软雅黑" w:eastAsia="微软雅黑" w:cs="微软雅黑"/>
          <w:i w:val="0"/>
          <w:iCs w:val="0"/>
          <w:caps w:val="0"/>
          <w:color w:val="3E3E3E"/>
          <w:spacing w:val="15"/>
          <w:sz w:val="22"/>
          <w:szCs w:val="22"/>
          <w:shd w:val="clear" w:fill="FFF4E9"/>
          <w:lang w:eastAsia="zh-CN"/>
        </w:rPr>
      </w:pPr>
      <w:r>
        <w:rPr>
          <w:rFonts w:hint="eastAsia" w:ascii="微软雅黑" w:hAnsi="微软雅黑" w:eastAsia="微软雅黑" w:cs="微软雅黑"/>
          <w:i w:val="0"/>
          <w:iCs w:val="0"/>
          <w:caps w:val="0"/>
          <w:color w:val="3E3E3E"/>
          <w:spacing w:val="15"/>
          <w:sz w:val="22"/>
          <w:szCs w:val="22"/>
          <w:shd w:val="clear" w:fill="FFF4E9"/>
          <w:lang w:eastAsia="zh-CN"/>
        </w:rPr>
        <w:drawing>
          <wp:anchor distT="0" distB="0" distL="114300" distR="114300" simplePos="0" relativeHeight="251671552" behindDoc="0" locked="0" layoutInCell="1" allowOverlap="1">
            <wp:simplePos x="0" y="0"/>
            <wp:positionH relativeFrom="column">
              <wp:posOffset>379730</wp:posOffset>
            </wp:positionH>
            <wp:positionV relativeFrom="paragraph">
              <wp:posOffset>71120</wp:posOffset>
            </wp:positionV>
            <wp:extent cx="4610735" cy="3458210"/>
            <wp:effectExtent l="0" t="0" r="18415" b="8890"/>
            <wp:wrapNone/>
            <wp:docPr id="28" name="图片 28" descr="24d7667f06e9232477833bc30b5b5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4d7667f06e9232477833bc30b5b5e00"/>
                    <pic:cNvPicPr>
                      <a:picLocks noChangeAspect="1"/>
                    </pic:cNvPicPr>
                  </pic:nvPicPr>
                  <pic:blipFill>
                    <a:blip r:embed="rId20"/>
                    <a:stretch>
                      <a:fillRect/>
                    </a:stretch>
                  </pic:blipFill>
                  <pic:spPr>
                    <a:xfrm>
                      <a:off x="0" y="0"/>
                      <a:ext cx="4610735" cy="3458210"/>
                    </a:xfrm>
                    <a:prstGeom prst="rect">
                      <a:avLst/>
                    </a:prstGeom>
                  </pic:spPr>
                </pic:pic>
              </a:graphicData>
            </a:graphic>
          </wp:anchor>
        </w:drawing>
      </w: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rPr>
          <w:rFonts w:hint="eastAsia" w:ascii="微软雅黑" w:hAnsi="微软雅黑" w:eastAsia="微软雅黑" w:cs="微软雅黑"/>
          <w:i w:val="0"/>
          <w:iCs w:val="0"/>
          <w:caps w:val="0"/>
          <w:color w:val="3E3E3E"/>
          <w:spacing w:val="15"/>
          <w:sz w:val="22"/>
          <w:szCs w:val="22"/>
          <w:shd w:val="clear" w:fill="FFF4E9"/>
          <w:lang w:eastAsia="zh-CN"/>
        </w:rPr>
      </w:pPr>
    </w:p>
    <w:p>
      <w:pPr>
        <w:pStyle w:val="6"/>
        <w:jc w:val="center"/>
        <w:rPr>
          <w:rFonts w:hint="default" w:ascii="楷体" w:hAnsi="楷体" w:eastAsia="楷体" w:cs="宋体"/>
          <w:bCs/>
          <w:kern w:val="2"/>
          <w:sz w:val="24"/>
          <w:szCs w:val="24"/>
          <w:lang w:val="en-US" w:eastAsia="zh-CN" w:bidi="ar-SA"/>
        </w:rPr>
      </w:pPr>
      <w:bookmarkStart w:id="51" w:name="_Toc1110"/>
      <w:r>
        <w:t xml:space="preserve">图 </w:t>
      </w:r>
      <w:r>
        <w:fldChar w:fldCharType="begin"/>
      </w:r>
      <w:r>
        <w:instrText xml:space="preserve"> SEQ 图 \* ARABIC </w:instrText>
      </w:r>
      <w:r>
        <w:fldChar w:fldCharType="separate"/>
      </w:r>
      <w:r>
        <w:t>8</w:t>
      </w:r>
      <w:r>
        <w:fldChar w:fldCharType="end"/>
      </w:r>
      <w:bookmarkStart w:id="52" w:name="_Toc25020"/>
      <w:r>
        <w:rPr>
          <w:rFonts w:hint="eastAsia"/>
          <w:lang w:eastAsia="zh-CN"/>
        </w:rPr>
        <w:t xml:space="preserve">  太湖创意职业技术学院开展反诈主题班会</w:t>
      </w:r>
      <w:r>
        <w:rPr>
          <w:rFonts w:hint="eastAsia"/>
          <w:lang w:val="en-US" w:eastAsia="zh-CN"/>
        </w:rPr>
        <w:t>现场二</w:t>
      </w:r>
      <w:bookmarkEnd w:id="51"/>
      <w:bookmarkEnd w:id="52"/>
    </w:p>
    <w:p>
      <w:pPr>
        <w:pStyle w:val="6"/>
        <w:spacing w:line="240" w:lineRule="auto"/>
        <w:rPr>
          <w:rFonts w:hint="eastAsia" w:ascii="楷体" w:hAnsi="楷体" w:eastAsia="楷体" w:cs="宋体"/>
          <w:bCs/>
          <w:kern w:val="2"/>
          <w:sz w:val="24"/>
          <w:szCs w:val="24"/>
          <w:lang w:val="en-US" w:eastAsia="zh-CN" w:bidi="ar-SA"/>
        </w:rPr>
      </w:pPr>
      <w:bookmarkStart w:id="53" w:name="_Toc24562"/>
      <w:r>
        <w:rPr>
          <w:rFonts w:hint="eastAsia" w:ascii="微软雅黑" w:hAnsi="微软雅黑" w:eastAsia="微软雅黑" w:cs="微软雅黑"/>
          <w:i w:val="0"/>
          <w:iCs w:val="0"/>
          <w:caps w:val="0"/>
          <w:spacing w:val="15"/>
          <w:sz w:val="22"/>
          <w:szCs w:val="22"/>
          <w:shd w:val="clear" w:fill="FFFFFF"/>
          <w:lang w:eastAsia="zh-CN"/>
        </w:rPr>
        <w:drawing>
          <wp:anchor distT="0" distB="0" distL="114300" distR="114300" simplePos="0" relativeHeight="251677696" behindDoc="0" locked="0" layoutInCell="1" allowOverlap="1">
            <wp:simplePos x="0" y="0"/>
            <wp:positionH relativeFrom="column">
              <wp:posOffset>171450</wp:posOffset>
            </wp:positionH>
            <wp:positionV relativeFrom="paragraph">
              <wp:posOffset>2005330</wp:posOffset>
            </wp:positionV>
            <wp:extent cx="4952365" cy="2774315"/>
            <wp:effectExtent l="0" t="0" r="635" b="6985"/>
            <wp:wrapNone/>
            <wp:docPr id="34" name="图片 34" descr="d0ebf05297e527c67bfb31b771717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0ebf05297e527c67bfb31b77171720b"/>
                    <pic:cNvPicPr>
                      <a:picLocks noChangeAspect="1"/>
                    </pic:cNvPicPr>
                  </pic:nvPicPr>
                  <pic:blipFill>
                    <a:blip r:embed="rId21"/>
                    <a:stretch>
                      <a:fillRect/>
                    </a:stretch>
                  </pic:blipFill>
                  <pic:spPr>
                    <a:xfrm>
                      <a:off x="0" y="0"/>
                      <a:ext cx="4952365" cy="2774315"/>
                    </a:xfrm>
                    <a:prstGeom prst="rect">
                      <a:avLst/>
                    </a:prstGeom>
                  </pic:spPr>
                </pic:pic>
              </a:graphicData>
            </a:graphic>
          </wp:anchor>
        </w:drawing>
      </w:r>
      <w:r>
        <w:t xml:space="preserve">案例 2- </w:t>
      </w:r>
      <w:r>
        <w:fldChar w:fldCharType="begin"/>
      </w:r>
      <w:r>
        <w:instrText xml:space="preserve"> SEQ 案例_2- \* ARABIC </w:instrText>
      </w:r>
      <w:r>
        <w:fldChar w:fldCharType="separate"/>
      </w:r>
      <w:r>
        <w:t>3</w:t>
      </w:r>
      <w:r>
        <w:fldChar w:fldCharType="end"/>
      </w:r>
      <w:r>
        <w:rPr>
          <w:rFonts w:hint="eastAsia"/>
          <w:lang w:eastAsia="zh-CN"/>
        </w:rPr>
        <w:t xml:space="preserve">  【</w:t>
      </w:r>
      <w:r>
        <w:rPr>
          <w:rFonts w:hint="eastAsia"/>
          <w:lang w:val="en-US" w:eastAsia="zh-CN"/>
        </w:rPr>
        <w:t>太湖创意职业技术学院</w:t>
      </w:r>
      <w:r>
        <w:rPr>
          <w:rFonts w:hint="eastAsia"/>
          <w:lang w:eastAsia="zh-CN"/>
        </w:rPr>
        <w:t>师生赴物博会实践研学】</w:t>
      </w:r>
      <w:r>
        <w:rPr>
          <w:rFonts w:hint="eastAsia" w:ascii="楷体" w:hAnsi="楷体" w:eastAsia="楷体" w:cs="宋体"/>
          <w:bCs/>
          <w:kern w:val="2"/>
          <w:sz w:val="24"/>
          <w:szCs w:val="24"/>
          <w:lang w:val="en-US" w:eastAsia="zh-CN" w:bidi="ar-SA"/>
        </w:rPr>
        <w:t>世界物联网博览会，是国内规模最大的物联网行业博览会，广泛汇集全球技术前沿信息，集聚高端创新资源，全面展示产业发展和行业应用的最新成果，为全球新一代信息技术创新、产业进步和融合发展提供了交流合作平台。10月20-23日世界物联网博览会在无锡太湖国际博览中心隆重举办。10月21日上午，学校师生赴物博会实践研学。世界物联网博览会是赋能行业发展的学习、交流大平台，对促进智能装备管理与合作协同发展，提升建造管理行业整体水平具有积极意义。通过参加物博会，师生拓展视野并有幸和智能制造领域工程师开展交流，学习了行业发展新观点、新思想、新思维和先进理念，既能见证到新科技发展的智慧力量，拓宽新思路，也坚定了把学习成果转化为知识的信心和决心。 </w:t>
      </w:r>
      <w:bookmarkEnd w:id="53"/>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rPr>
          <w:rFonts w:hint="default" w:ascii="微软雅黑" w:hAnsi="微软雅黑" w:eastAsia="宋体" w:cs="微软雅黑"/>
          <w:i w:val="0"/>
          <w:iCs w:val="0"/>
          <w:caps w:val="0"/>
          <w:spacing w:val="15"/>
          <w:sz w:val="22"/>
          <w:szCs w:val="22"/>
          <w:shd w:val="clear" w:fill="FFFFFF"/>
          <w:lang w:val="en-US" w:eastAsia="zh-CN"/>
        </w:rPr>
      </w:pPr>
      <w:bookmarkStart w:id="54" w:name="_Toc12069"/>
      <w:bookmarkStart w:id="55" w:name="_Toc29475"/>
      <w:r>
        <w:t xml:space="preserve">图 </w:t>
      </w:r>
      <w:r>
        <w:fldChar w:fldCharType="begin"/>
      </w:r>
      <w:r>
        <w:instrText xml:space="preserve"> SEQ 图 \* ARABIC </w:instrText>
      </w:r>
      <w:r>
        <w:fldChar w:fldCharType="separate"/>
      </w:r>
      <w:r>
        <w:t>9</w:t>
      </w:r>
      <w:r>
        <w:fldChar w:fldCharType="end"/>
      </w:r>
      <w:bookmarkStart w:id="56" w:name="_Toc8732"/>
      <w:r>
        <w:rPr>
          <w:rFonts w:hint="eastAsia"/>
          <w:lang w:eastAsia="zh-CN"/>
        </w:rPr>
        <w:t xml:space="preserve">  太湖创意职业技术学院师生赴物博会实践研学</w:t>
      </w:r>
      <w:r>
        <w:rPr>
          <w:rFonts w:hint="eastAsia"/>
          <w:lang w:val="en-US" w:eastAsia="zh-CN"/>
        </w:rPr>
        <w:t>现场一</w:t>
      </w:r>
      <w:bookmarkEnd w:id="54"/>
      <w:bookmarkEnd w:id="55"/>
      <w:bookmarkEnd w:id="56"/>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outlineLvl w:val="1"/>
        <w:rPr>
          <w:rFonts w:hint="eastAsia" w:ascii="微软雅黑" w:hAnsi="微软雅黑" w:eastAsia="微软雅黑" w:cs="微软雅黑"/>
          <w:i w:val="0"/>
          <w:iCs w:val="0"/>
          <w:caps w:val="0"/>
          <w:spacing w:val="15"/>
          <w:sz w:val="22"/>
          <w:szCs w:val="22"/>
          <w:shd w:val="clear" w:fill="FFFFFF"/>
          <w:lang w:eastAsia="zh-CN"/>
        </w:rPr>
      </w:pPr>
      <w:r>
        <w:rPr>
          <w:rFonts w:hint="eastAsia" w:ascii="微软雅黑" w:hAnsi="微软雅黑" w:eastAsia="微软雅黑" w:cs="微软雅黑"/>
          <w:i w:val="0"/>
          <w:iCs w:val="0"/>
          <w:caps w:val="0"/>
          <w:spacing w:val="15"/>
          <w:sz w:val="22"/>
          <w:szCs w:val="22"/>
          <w:shd w:val="clear" w:fill="FFFFFF"/>
          <w:lang w:eastAsia="zh-CN"/>
        </w:rPr>
        <w:drawing>
          <wp:anchor distT="0" distB="0" distL="114300" distR="114300" simplePos="0" relativeHeight="251678720" behindDoc="0" locked="0" layoutInCell="1" allowOverlap="1">
            <wp:simplePos x="0" y="0"/>
            <wp:positionH relativeFrom="column">
              <wp:posOffset>163830</wp:posOffset>
            </wp:positionH>
            <wp:positionV relativeFrom="paragraph">
              <wp:posOffset>62230</wp:posOffset>
            </wp:positionV>
            <wp:extent cx="4943475" cy="3290570"/>
            <wp:effectExtent l="0" t="0" r="9525" b="5080"/>
            <wp:wrapNone/>
            <wp:docPr id="10" name="图片 10" descr="0e5d4c16b58852bca88f947425dcf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e5d4c16b58852bca88f947425dcfdc8"/>
                    <pic:cNvPicPr>
                      <a:picLocks noChangeAspect="1"/>
                    </pic:cNvPicPr>
                  </pic:nvPicPr>
                  <pic:blipFill>
                    <a:blip r:embed="rId22"/>
                    <a:stretch>
                      <a:fillRect/>
                    </a:stretch>
                  </pic:blipFill>
                  <pic:spPr>
                    <a:xfrm>
                      <a:off x="0" y="0"/>
                      <a:ext cx="4943475" cy="329057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2"/>
          <w:szCs w:val="22"/>
          <w:shd w:val="clear" w:fill="FFFFFF"/>
          <w:lang w:eastAsia="zh-CN"/>
        </w:rPr>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jc w:val="center"/>
        <w:textAlignment w:val="auto"/>
        <w:outlineLvl w:val="1"/>
        <w:rPr>
          <w:rFonts w:hint="default" w:ascii="宋体" w:hAnsi="宋体" w:cs="宋体"/>
          <w:b/>
          <w:bCs/>
          <w:sz w:val="28"/>
          <w:szCs w:val="28"/>
          <w:lang w:val="en-US" w:eastAsia="zh-CN"/>
        </w:rPr>
      </w:pPr>
      <w:bookmarkStart w:id="57" w:name="_Toc26907"/>
      <w:bookmarkStart w:id="58" w:name="_Toc1655"/>
      <w:r>
        <w:t xml:space="preserve">图 </w:t>
      </w:r>
      <w:r>
        <w:fldChar w:fldCharType="begin"/>
      </w:r>
      <w:r>
        <w:instrText xml:space="preserve"> SEQ 图 \* ARABIC </w:instrText>
      </w:r>
      <w:r>
        <w:fldChar w:fldCharType="separate"/>
      </w:r>
      <w:r>
        <w:t>10</w:t>
      </w:r>
      <w:r>
        <w:fldChar w:fldCharType="end"/>
      </w:r>
      <w:bookmarkStart w:id="59" w:name="_Toc23120"/>
      <w:r>
        <w:rPr>
          <w:rFonts w:hint="eastAsia"/>
          <w:lang w:eastAsia="zh-CN"/>
        </w:rPr>
        <w:t xml:space="preserve">  太湖创意职业技术学院师生赴物博会实践研学</w:t>
      </w:r>
      <w:r>
        <w:rPr>
          <w:rFonts w:hint="eastAsia"/>
          <w:lang w:val="en-US" w:eastAsia="zh-CN"/>
        </w:rPr>
        <w:t>现场二</w:t>
      </w:r>
      <w:bookmarkEnd w:id="57"/>
      <w:bookmarkEnd w:id="58"/>
      <w:bookmarkEnd w:id="59"/>
    </w:p>
    <w:p>
      <w:pPr>
        <w:pStyle w:val="6"/>
        <w:spacing w:line="240" w:lineRule="auto"/>
        <w:rPr>
          <w:rFonts w:hint="eastAsia" w:ascii="微软雅黑" w:hAnsi="微软雅黑" w:eastAsia="微软雅黑" w:cs="微软雅黑"/>
          <w:i w:val="0"/>
          <w:iCs w:val="0"/>
          <w:caps w:val="0"/>
          <w:spacing w:val="15"/>
          <w:sz w:val="21"/>
          <w:szCs w:val="21"/>
          <w:shd w:val="clear" w:fill="FFFFFF"/>
          <w:lang w:val="en-US" w:eastAsia="zh-CN"/>
        </w:rPr>
      </w:pPr>
      <w:bookmarkStart w:id="60" w:name="_Toc26870"/>
      <w:r>
        <w:rPr>
          <w:rFonts w:hint="eastAsia" w:ascii="微软雅黑" w:hAnsi="微软雅黑" w:eastAsia="微软雅黑" w:cs="微软雅黑"/>
          <w:i w:val="0"/>
          <w:iCs w:val="0"/>
          <w:caps w:val="0"/>
          <w:spacing w:val="15"/>
          <w:sz w:val="21"/>
          <w:szCs w:val="21"/>
          <w:shd w:val="clear" w:fill="FFFFFF"/>
          <w:lang w:val="en-US" w:eastAsia="zh-CN"/>
        </w:rPr>
        <w:drawing>
          <wp:anchor distT="0" distB="0" distL="114300" distR="114300" simplePos="0" relativeHeight="251699200" behindDoc="0" locked="0" layoutInCell="1" allowOverlap="1">
            <wp:simplePos x="0" y="0"/>
            <wp:positionH relativeFrom="column">
              <wp:posOffset>304800</wp:posOffset>
            </wp:positionH>
            <wp:positionV relativeFrom="paragraph">
              <wp:posOffset>867410</wp:posOffset>
            </wp:positionV>
            <wp:extent cx="4777740" cy="3188970"/>
            <wp:effectExtent l="0" t="0" r="3810" b="11430"/>
            <wp:wrapNone/>
            <wp:docPr id="47" name="图片 47" descr="99685ccf0e8ee43344fed79504727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99685ccf0e8ee43344fed79504727e27"/>
                    <pic:cNvPicPr>
                      <a:picLocks noChangeAspect="1"/>
                    </pic:cNvPicPr>
                  </pic:nvPicPr>
                  <pic:blipFill>
                    <a:blip r:embed="rId23"/>
                    <a:stretch>
                      <a:fillRect/>
                    </a:stretch>
                  </pic:blipFill>
                  <pic:spPr>
                    <a:xfrm>
                      <a:off x="0" y="0"/>
                      <a:ext cx="4777740" cy="3188970"/>
                    </a:xfrm>
                    <a:prstGeom prst="rect">
                      <a:avLst/>
                    </a:prstGeom>
                  </pic:spPr>
                </pic:pic>
              </a:graphicData>
            </a:graphic>
          </wp:anchor>
        </w:drawing>
      </w:r>
      <w:r>
        <w:t xml:space="preserve">案例 2- </w:t>
      </w:r>
      <w:r>
        <w:fldChar w:fldCharType="begin"/>
      </w:r>
      <w:r>
        <w:instrText xml:space="preserve"> SEQ 案例_2- \* ARABIC </w:instrText>
      </w:r>
      <w:r>
        <w:fldChar w:fldCharType="separate"/>
      </w:r>
      <w:r>
        <w:t>4</w:t>
      </w:r>
      <w:r>
        <w:fldChar w:fldCharType="end"/>
      </w:r>
      <w:r>
        <w:rPr>
          <w:rFonts w:hint="eastAsia"/>
          <w:lang w:eastAsia="zh-CN"/>
        </w:rPr>
        <w:t xml:space="preserve">  【</w:t>
      </w:r>
      <w:r>
        <w:rPr>
          <w:rFonts w:hint="eastAsia"/>
          <w:lang w:val="en-US" w:eastAsia="zh-CN"/>
        </w:rPr>
        <w:t>太湖创意职业技术学院</w:t>
      </w:r>
      <w:r>
        <w:rPr>
          <w:rFonts w:hint="eastAsia"/>
          <w:lang w:eastAsia="zh-CN"/>
        </w:rPr>
        <w:t>开展心理健康周活动】</w:t>
      </w:r>
      <w:r>
        <w:rPr>
          <w:rFonts w:hint="eastAsia" w:ascii="楷体" w:hAnsi="楷体" w:eastAsia="楷体" w:cs="宋体"/>
          <w:bCs/>
          <w:kern w:val="2"/>
          <w:sz w:val="24"/>
          <w:szCs w:val="24"/>
          <w:lang w:val="en-US" w:eastAsia="zh-CN" w:bidi="ar-SA"/>
        </w:rPr>
        <w:t>学校通过开展心理健康周的活动，加强了学生心理健康教育，在学生种营造一种学习、普及、宣传心理健康知识，关心、理解、帮助有心理困扰的同学，共同创建促进大学生心理健康成长的良好氛围，促进大学生心理健康成长。</w:t>
      </w:r>
      <w:bookmarkEnd w:id="60"/>
    </w:p>
    <w:p>
      <w:pPr>
        <w:pStyle w:val="6"/>
        <w:spacing w:line="240" w:lineRule="auto"/>
        <w:rPr>
          <w:rFonts w:hint="eastAsia" w:ascii="微软雅黑" w:hAnsi="微软雅黑" w:eastAsia="微软雅黑" w:cs="微软雅黑"/>
          <w:i w:val="0"/>
          <w:iCs w:val="0"/>
          <w:caps w:val="0"/>
          <w:spacing w:val="15"/>
          <w:sz w:val="21"/>
          <w:szCs w:val="21"/>
          <w:shd w:val="clear" w:fill="FFFFFF"/>
          <w:lang w:val="en-US" w:eastAsia="zh-CN"/>
        </w:rPr>
      </w:pPr>
    </w:p>
    <w:p>
      <w:pPr>
        <w:pStyle w:val="6"/>
        <w:spacing w:line="240" w:lineRule="auto"/>
        <w:rPr>
          <w:rFonts w:hint="eastAsia" w:ascii="微软雅黑" w:hAnsi="微软雅黑" w:eastAsia="微软雅黑" w:cs="微软雅黑"/>
          <w:i w:val="0"/>
          <w:iCs w:val="0"/>
          <w:caps w:val="0"/>
          <w:spacing w:val="15"/>
          <w:sz w:val="21"/>
          <w:szCs w:val="21"/>
          <w:shd w:val="clear" w:fill="FFFFFF"/>
          <w:lang w:val="en-US" w:eastAsia="zh-CN"/>
        </w:rPr>
      </w:pPr>
    </w:p>
    <w:p>
      <w:pPr>
        <w:pStyle w:val="6"/>
        <w:spacing w:line="240" w:lineRule="auto"/>
        <w:rPr>
          <w:rFonts w:hint="eastAsia" w:ascii="微软雅黑" w:hAnsi="微软雅黑" w:eastAsia="微软雅黑" w:cs="微软雅黑"/>
          <w:i w:val="0"/>
          <w:iCs w:val="0"/>
          <w:caps w:val="0"/>
          <w:spacing w:val="15"/>
          <w:sz w:val="21"/>
          <w:szCs w:val="21"/>
          <w:shd w:val="clear" w:fill="FFFFFF"/>
          <w:lang w:val="en-US" w:eastAsia="zh-CN"/>
        </w:rPr>
      </w:pPr>
    </w:p>
    <w:p>
      <w:pPr>
        <w:rPr>
          <w:rFonts w:hint="eastAsia" w:ascii="微软雅黑" w:hAnsi="微软雅黑" w:eastAsia="微软雅黑" w:cs="微软雅黑"/>
          <w:i w:val="0"/>
          <w:iCs w:val="0"/>
          <w:caps w:val="0"/>
          <w:spacing w:val="15"/>
          <w:sz w:val="21"/>
          <w:szCs w:val="21"/>
          <w:shd w:val="clear" w:fill="FFFFFF"/>
          <w:lang w:val="en-US" w:eastAsia="zh-CN"/>
        </w:rPr>
      </w:pPr>
    </w:p>
    <w:p>
      <w:pPr>
        <w:rPr>
          <w:rFonts w:hint="eastAsia" w:ascii="微软雅黑" w:hAnsi="微软雅黑" w:eastAsia="微软雅黑" w:cs="微软雅黑"/>
          <w:i w:val="0"/>
          <w:iCs w:val="0"/>
          <w:caps w:val="0"/>
          <w:spacing w:val="15"/>
          <w:sz w:val="21"/>
          <w:szCs w:val="21"/>
          <w:shd w:val="clear" w:fill="FFFFFF"/>
          <w:lang w:val="en-US" w:eastAsia="zh-CN"/>
        </w:rPr>
      </w:pPr>
    </w:p>
    <w:p>
      <w:pPr>
        <w:rPr>
          <w:rFonts w:hint="eastAsia" w:ascii="微软雅黑" w:hAnsi="微软雅黑" w:eastAsia="微软雅黑" w:cs="微软雅黑"/>
          <w:i w:val="0"/>
          <w:iCs w:val="0"/>
          <w:caps w:val="0"/>
          <w:spacing w:val="15"/>
          <w:sz w:val="21"/>
          <w:szCs w:val="21"/>
          <w:shd w:val="clear" w:fill="FFFFFF"/>
          <w:lang w:val="en-US" w:eastAsia="zh-CN"/>
        </w:rPr>
      </w:pPr>
    </w:p>
    <w:p>
      <w:pPr>
        <w:rPr>
          <w:rFonts w:hint="eastAsia" w:ascii="微软雅黑" w:hAnsi="微软雅黑" w:eastAsia="微软雅黑" w:cs="微软雅黑"/>
          <w:i w:val="0"/>
          <w:iCs w:val="0"/>
          <w:caps w:val="0"/>
          <w:spacing w:val="15"/>
          <w:sz w:val="21"/>
          <w:szCs w:val="21"/>
          <w:shd w:val="clear" w:fill="FFFFFF"/>
          <w:lang w:val="en-US" w:eastAsia="zh-CN"/>
        </w:rPr>
      </w:pPr>
    </w:p>
    <w:p>
      <w:pPr>
        <w:pStyle w:val="6"/>
        <w:jc w:val="center"/>
        <w:rPr>
          <w:rFonts w:hint="default" w:eastAsia="宋体"/>
          <w:lang w:val="en-US" w:eastAsia="zh-CN"/>
        </w:rPr>
      </w:pPr>
      <w:bookmarkStart w:id="61" w:name="_Toc8823"/>
      <w:r>
        <w:t xml:space="preserve">图 </w:t>
      </w:r>
      <w:r>
        <w:fldChar w:fldCharType="begin"/>
      </w:r>
      <w:r>
        <w:instrText xml:space="preserve"> SEQ 图 \* ARABIC </w:instrText>
      </w:r>
      <w:r>
        <w:fldChar w:fldCharType="separate"/>
      </w:r>
      <w:r>
        <w:t>11</w:t>
      </w:r>
      <w:r>
        <w:fldChar w:fldCharType="end"/>
      </w:r>
      <w:bookmarkStart w:id="62" w:name="_Toc17482"/>
      <w:r>
        <w:rPr>
          <w:rFonts w:hint="eastAsia"/>
          <w:lang w:eastAsia="zh-CN"/>
        </w:rPr>
        <w:t xml:space="preserve">  太湖创意职业技术学院开展心理健康周活动</w:t>
      </w:r>
      <w:r>
        <w:rPr>
          <w:rFonts w:hint="eastAsia"/>
          <w:lang w:val="en-US" w:eastAsia="zh-CN"/>
        </w:rPr>
        <w:t>现场一</w:t>
      </w:r>
      <w:bookmarkEnd w:id="61"/>
      <w:bookmarkEnd w:id="62"/>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r>
        <w:rPr>
          <w:rFonts w:hint="eastAsia" w:ascii="微软雅黑" w:hAnsi="微软雅黑" w:eastAsia="微软雅黑" w:cs="微软雅黑"/>
          <w:i w:val="0"/>
          <w:iCs w:val="0"/>
          <w:caps w:val="0"/>
          <w:spacing w:val="15"/>
          <w:sz w:val="21"/>
          <w:szCs w:val="21"/>
          <w:shd w:val="clear" w:fill="FFFFFF"/>
          <w:lang w:val="en-US" w:eastAsia="zh-CN"/>
        </w:rPr>
        <w:drawing>
          <wp:anchor distT="0" distB="0" distL="114300" distR="114300" simplePos="0" relativeHeight="251700224" behindDoc="0" locked="0" layoutInCell="1" allowOverlap="1">
            <wp:simplePos x="0" y="0"/>
            <wp:positionH relativeFrom="column">
              <wp:posOffset>304165</wp:posOffset>
            </wp:positionH>
            <wp:positionV relativeFrom="paragraph">
              <wp:posOffset>92710</wp:posOffset>
            </wp:positionV>
            <wp:extent cx="4787900" cy="3195955"/>
            <wp:effectExtent l="0" t="0" r="12700" b="4445"/>
            <wp:wrapNone/>
            <wp:docPr id="48" name="图片 48" descr="d786fbc318371d3e3464e93f5af97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786fbc318371d3e3464e93f5af97c00"/>
                    <pic:cNvPicPr>
                      <a:picLocks noChangeAspect="1"/>
                    </pic:cNvPicPr>
                  </pic:nvPicPr>
                  <pic:blipFill>
                    <a:blip r:embed="rId24"/>
                    <a:stretch>
                      <a:fillRect/>
                    </a:stretch>
                  </pic:blipFill>
                  <pic:spPr>
                    <a:xfrm>
                      <a:off x="0" y="0"/>
                      <a:ext cx="4787900" cy="319595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spacing w:val="15"/>
          <w:sz w:val="21"/>
          <w:szCs w:val="21"/>
          <w:shd w:val="clear" w:fill="FFFFFF"/>
          <w:lang w:val="en-US" w:eastAsia="zh-CN"/>
        </w:rPr>
      </w:pPr>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rPr>
          <w:rFonts w:hint="default" w:ascii="微软雅黑" w:hAnsi="微软雅黑" w:eastAsia="宋体" w:cs="微软雅黑"/>
          <w:i w:val="0"/>
          <w:iCs w:val="0"/>
          <w:caps w:val="0"/>
          <w:spacing w:val="15"/>
          <w:sz w:val="21"/>
          <w:szCs w:val="21"/>
          <w:shd w:val="clear" w:fill="FFFFFF"/>
          <w:lang w:val="en-US" w:eastAsia="zh-CN"/>
        </w:rPr>
      </w:pPr>
      <w:bookmarkStart w:id="63" w:name="_Toc22890"/>
      <w:bookmarkStart w:id="64" w:name="_Toc28582"/>
      <w:r>
        <w:t xml:space="preserve">图 </w:t>
      </w:r>
      <w:r>
        <w:fldChar w:fldCharType="begin"/>
      </w:r>
      <w:r>
        <w:instrText xml:space="preserve"> SEQ 图 \* ARABIC </w:instrText>
      </w:r>
      <w:r>
        <w:fldChar w:fldCharType="separate"/>
      </w:r>
      <w:r>
        <w:t>12</w:t>
      </w:r>
      <w:r>
        <w:fldChar w:fldCharType="end"/>
      </w:r>
      <w:bookmarkStart w:id="65" w:name="_Toc26541"/>
      <w:r>
        <w:rPr>
          <w:rFonts w:hint="eastAsia"/>
          <w:lang w:eastAsia="zh-CN"/>
        </w:rPr>
        <w:t xml:space="preserve">  太湖创意职业技术学院开展心理健康周活动</w:t>
      </w:r>
      <w:r>
        <w:rPr>
          <w:rFonts w:hint="eastAsia"/>
          <w:lang w:val="en-US" w:eastAsia="zh-CN"/>
        </w:rPr>
        <w:t>现场二</w:t>
      </w:r>
      <w:bookmarkEnd w:id="63"/>
      <w:bookmarkEnd w:id="64"/>
      <w:bookmarkEnd w:id="65"/>
    </w:p>
    <w:p>
      <w:pPr>
        <w:keepNext w:val="0"/>
        <w:keepLines w:val="0"/>
        <w:pageBreakBefore w:val="0"/>
        <w:widowControl w:val="0"/>
        <w:kinsoku/>
        <w:wordWrap/>
        <w:overflowPunct/>
        <w:topLinePunct w:val="0"/>
        <w:autoSpaceDE/>
        <w:autoSpaceDN/>
        <w:bidi w:val="0"/>
        <w:adjustRightInd/>
        <w:snapToGrid/>
        <w:spacing w:before="0" w:after="0" w:line="240" w:lineRule="auto"/>
        <w:textAlignment w:val="auto"/>
        <w:outlineLvl w:val="1"/>
        <w:rPr>
          <w:rFonts w:hint="eastAsia" w:ascii="宋体" w:hAnsi="宋体" w:cs="宋体"/>
          <w:b/>
          <w:bCs/>
          <w:sz w:val="28"/>
          <w:szCs w:val="28"/>
          <w:lang w:val="en-US" w:eastAsia="zh-CN"/>
        </w:rPr>
      </w:pPr>
    </w:p>
    <w:p>
      <w:pPr>
        <w:pStyle w:val="6"/>
        <w:spacing w:line="240" w:lineRule="auto"/>
        <w:rPr>
          <w:rFonts w:hint="eastAsia" w:ascii="楷体" w:hAnsi="楷体" w:eastAsia="楷体" w:cs="宋体"/>
          <w:bCs/>
          <w:kern w:val="2"/>
          <w:sz w:val="24"/>
          <w:szCs w:val="24"/>
          <w:lang w:val="en-US" w:eastAsia="zh-CN" w:bidi="ar-SA"/>
        </w:rPr>
      </w:pPr>
      <w:bookmarkStart w:id="66" w:name="_Toc1268"/>
      <w:r>
        <w:t xml:space="preserve">案例 2- </w:t>
      </w:r>
      <w:r>
        <w:fldChar w:fldCharType="begin"/>
      </w:r>
      <w:r>
        <w:instrText xml:space="preserve"> SEQ 案例_2- \* ARABIC </w:instrText>
      </w:r>
      <w:r>
        <w:fldChar w:fldCharType="separate"/>
      </w:r>
      <w:r>
        <w:t>5</w:t>
      </w:r>
      <w:r>
        <w:fldChar w:fldCharType="end"/>
      </w:r>
      <w:r>
        <w:rPr>
          <w:rFonts w:hint="eastAsia"/>
          <w:lang w:eastAsia="zh-CN"/>
        </w:rPr>
        <w:t xml:space="preserve">  【</w:t>
      </w:r>
      <w:r>
        <w:rPr>
          <w:rFonts w:hint="eastAsia"/>
          <w:lang w:val="en-US" w:eastAsia="zh-CN"/>
        </w:rPr>
        <w:t>太湖创意职业技术学院</w:t>
      </w:r>
      <w:r>
        <w:rPr>
          <w:rFonts w:hint="eastAsia"/>
          <w:lang w:eastAsia="zh-CN"/>
        </w:rPr>
        <w:t>开展国家安全宣传教育活动】</w:t>
      </w:r>
      <w:r>
        <w:rPr>
          <w:rFonts w:hint="eastAsia" w:ascii="楷体" w:hAnsi="楷体" w:eastAsia="楷体" w:cs="宋体"/>
          <w:bCs/>
          <w:kern w:val="2"/>
          <w:sz w:val="24"/>
          <w:szCs w:val="24"/>
          <w:lang w:val="en-US" w:eastAsia="zh-CN" w:bidi="ar-SA"/>
        </w:rPr>
        <w:t>为深入贯彻落实教育部思想政治工作司的指导，在学校的大力支持下，提高全体师生及学生的安全和防范意识，培育其国家安全的正确理念，使学生自觉远离邪教，从源头上防御风险，提升个人的安全素养，增强全体师生国家安全责任感。从维护社会稳定为出发点，构筑维护国家安全的强大力量。自三月以来，学校开展了重点宣传教育活动，取得了良好的效果。</w:t>
      </w:r>
      <w:bookmarkEnd w:id="66"/>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r>
        <w:rPr>
          <w:rFonts w:hint="eastAsia" w:ascii="微软雅黑" w:hAnsi="微软雅黑" w:eastAsia="微软雅黑" w:cs="微软雅黑"/>
          <w:i w:val="0"/>
          <w:iCs w:val="0"/>
          <w:caps w:val="0"/>
          <w:color w:val="000000"/>
          <w:spacing w:val="15"/>
          <w:sz w:val="22"/>
          <w:szCs w:val="22"/>
          <w:lang w:val="en-US" w:eastAsia="zh-CN"/>
        </w:rPr>
        <w:drawing>
          <wp:anchor distT="0" distB="0" distL="114300" distR="114300" simplePos="0" relativeHeight="251703296" behindDoc="0" locked="0" layoutInCell="1" allowOverlap="1">
            <wp:simplePos x="0" y="0"/>
            <wp:positionH relativeFrom="column">
              <wp:posOffset>236855</wp:posOffset>
            </wp:positionH>
            <wp:positionV relativeFrom="paragraph">
              <wp:posOffset>69850</wp:posOffset>
            </wp:positionV>
            <wp:extent cx="4826000" cy="3251835"/>
            <wp:effectExtent l="0" t="0" r="12700" b="5715"/>
            <wp:wrapNone/>
            <wp:docPr id="52" name="图片 52" descr="33c4e6e25955e48635c293c7eb05af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3c4e6e25955e48635c293c7eb05afbf"/>
                    <pic:cNvPicPr>
                      <a:picLocks noChangeAspect="1"/>
                    </pic:cNvPicPr>
                  </pic:nvPicPr>
                  <pic:blipFill>
                    <a:blip r:embed="rId25"/>
                    <a:stretch>
                      <a:fillRect/>
                    </a:stretch>
                  </pic:blipFill>
                  <pic:spPr>
                    <a:xfrm>
                      <a:off x="0" y="0"/>
                      <a:ext cx="4826000" cy="325183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000000"/>
          <w:spacing w:val="15"/>
          <w:sz w:val="22"/>
          <w:szCs w:val="22"/>
          <w:lang w:val="en-US" w:eastAsia="zh-CN"/>
        </w:rPr>
      </w:pPr>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rPr>
          <w:rFonts w:hint="eastAsia" w:ascii="微软雅黑" w:hAnsi="微软雅黑" w:eastAsia="宋体" w:cs="微软雅黑"/>
          <w:i w:val="0"/>
          <w:iCs w:val="0"/>
          <w:caps w:val="0"/>
          <w:color w:val="000000"/>
          <w:spacing w:val="15"/>
          <w:sz w:val="22"/>
          <w:szCs w:val="22"/>
          <w:lang w:val="en-US" w:eastAsia="zh-CN"/>
        </w:rPr>
      </w:pPr>
      <w:bookmarkStart w:id="67" w:name="_Toc13947"/>
      <w:bookmarkStart w:id="68" w:name="_Toc20650"/>
      <w:r>
        <w:t xml:space="preserve">图 </w:t>
      </w:r>
      <w:r>
        <w:fldChar w:fldCharType="begin"/>
      </w:r>
      <w:r>
        <w:instrText xml:space="preserve"> SEQ 图 \* ARABIC </w:instrText>
      </w:r>
      <w:r>
        <w:fldChar w:fldCharType="separate"/>
      </w:r>
      <w:r>
        <w:t>13</w:t>
      </w:r>
      <w:r>
        <w:fldChar w:fldCharType="end"/>
      </w:r>
      <w:bookmarkStart w:id="69" w:name="_Toc6418"/>
      <w:r>
        <w:rPr>
          <w:rFonts w:hint="eastAsia"/>
          <w:lang w:eastAsia="zh-CN"/>
        </w:rPr>
        <w:t xml:space="preserve">  太湖创意职业技术学院开展国家安全宣传教育活动</w:t>
      </w:r>
      <w:bookmarkEnd w:id="67"/>
      <w:bookmarkEnd w:id="68"/>
      <w:bookmarkEnd w:id="69"/>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pStyle w:val="6"/>
        <w:spacing w:line="240" w:lineRule="auto"/>
        <w:rPr>
          <w:rFonts w:hint="eastAsia" w:ascii="楷体" w:hAnsi="楷体" w:eastAsia="楷体" w:cs="宋体"/>
          <w:bCs/>
          <w:kern w:val="2"/>
          <w:sz w:val="24"/>
          <w:szCs w:val="24"/>
          <w:lang w:val="en-US" w:eastAsia="zh-CN" w:bidi="ar-SA"/>
        </w:rPr>
      </w:pPr>
      <w:bookmarkStart w:id="70" w:name="_Toc1049"/>
      <w:r>
        <w:t xml:space="preserve">案例 2- </w:t>
      </w:r>
      <w:r>
        <w:fldChar w:fldCharType="begin"/>
      </w:r>
      <w:r>
        <w:instrText xml:space="preserve"> SEQ 案例_2- \* ARABIC </w:instrText>
      </w:r>
      <w:r>
        <w:fldChar w:fldCharType="separate"/>
      </w:r>
      <w:r>
        <w:t>6</w:t>
      </w:r>
      <w:r>
        <w:fldChar w:fldCharType="end"/>
      </w:r>
      <w:r>
        <w:rPr>
          <w:rFonts w:hint="eastAsia"/>
          <w:lang w:eastAsia="zh-CN"/>
        </w:rPr>
        <w:t xml:space="preserve">  【</w:t>
      </w:r>
      <w:r>
        <w:rPr>
          <w:rFonts w:hint="eastAsia"/>
          <w:lang w:val="en-US" w:eastAsia="zh-CN"/>
        </w:rPr>
        <w:t>太湖创意职业技术学院</w:t>
      </w:r>
      <w:r>
        <w:rPr>
          <w:rFonts w:hint="eastAsia"/>
          <w:lang w:eastAsia="zh-CN"/>
        </w:rPr>
        <w:t>开展“五育并举”风采展示活动】</w:t>
      </w:r>
      <w:r>
        <w:rPr>
          <w:rFonts w:hint="eastAsia" w:ascii="楷体" w:hAnsi="楷体" w:eastAsia="楷体" w:cs="宋体"/>
          <w:bCs/>
          <w:kern w:val="2"/>
          <w:sz w:val="24"/>
          <w:szCs w:val="24"/>
          <w:lang w:val="en-US" w:eastAsia="zh-CN" w:bidi="ar-SA"/>
        </w:rPr>
        <w:t>为深入学习贯彻党的二十大精神，表彰“五育并举”工作中涌现出的先进团体与个人，进一步传承和弘扬五四精神，厚植爱党爱国情怀，展示学校青年学子风采，在工科实训中心一楼报告厅，学校举行五四青年节表彰大会暨“五育并举”风采展示活动。</w:t>
      </w:r>
      <w:bookmarkEnd w:id="70"/>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r>
        <w:rPr>
          <w:rFonts w:hint="eastAsia" w:ascii="微软雅黑" w:hAnsi="微软雅黑" w:eastAsia="微软雅黑" w:cs="微软雅黑"/>
          <w:i w:val="0"/>
          <w:iCs w:val="0"/>
          <w:caps w:val="0"/>
          <w:color w:val="3E3E3E"/>
          <w:spacing w:val="15"/>
          <w:sz w:val="22"/>
          <w:szCs w:val="22"/>
          <w:shd w:val="clear" w:fill="FFF4E9"/>
          <w:lang w:eastAsia="zh-CN"/>
        </w:rPr>
        <w:drawing>
          <wp:anchor distT="0" distB="0" distL="114300" distR="114300" simplePos="0" relativeHeight="251705344" behindDoc="0" locked="0" layoutInCell="1" allowOverlap="1">
            <wp:simplePos x="0" y="0"/>
            <wp:positionH relativeFrom="column">
              <wp:posOffset>275590</wp:posOffset>
            </wp:positionH>
            <wp:positionV relativeFrom="paragraph">
              <wp:posOffset>85090</wp:posOffset>
            </wp:positionV>
            <wp:extent cx="4714240" cy="2806700"/>
            <wp:effectExtent l="0" t="0" r="10160" b="12700"/>
            <wp:wrapNone/>
            <wp:docPr id="54" name="图片 54" descr="a054aa4ea1b034360d777afc5aa74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a054aa4ea1b034360d777afc5aa74a61"/>
                    <pic:cNvPicPr>
                      <a:picLocks noChangeAspect="1"/>
                    </pic:cNvPicPr>
                  </pic:nvPicPr>
                  <pic:blipFill>
                    <a:blip r:embed="rId26"/>
                    <a:stretch>
                      <a:fillRect/>
                    </a:stretch>
                  </pic:blipFill>
                  <pic:spPr>
                    <a:xfrm>
                      <a:off x="0" y="0"/>
                      <a:ext cx="4714240" cy="280670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pPr>
      <w:bookmarkStart w:id="71" w:name="_Toc14794"/>
      <w:bookmarkStart w:id="72" w:name="_Toc31569"/>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rPr>
          <w:rFonts w:hint="default" w:ascii="微软雅黑" w:hAnsi="微软雅黑" w:eastAsia="宋体" w:cs="微软雅黑"/>
          <w:i w:val="0"/>
          <w:iCs w:val="0"/>
          <w:caps w:val="0"/>
          <w:color w:val="3E3E3E"/>
          <w:spacing w:val="15"/>
          <w:sz w:val="22"/>
          <w:szCs w:val="22"/>
          <w:shd w:val="clear" w:fill="FFF4E9"/>
          <w:lang w:val="en-US" w:eastAsia="zh-CN"/>
        </w:rPr>
      </w:pPr>
      <w:r>
        <w:t xml:space="preserve">图 </w:t>
      </w:r>
      <w:r>
        <w:fldChar w:fldCharType="begin"/>
      </w:r>
      <w:r>
        <w:instrText xml:space="preserve"> SEQ 图 \* ARABIC </w:instrText>
      </w:r>
      <w:r>
        <w:fldChar w:fldCharType="separate"/>
      </w:r>
      <w:r>
        <w:t>14</w:t>
      </w:r>
      <w:r>
        <w:fldChar w:fldCharType="end"/>
      </w:r>
      <w:bookmarkStart w:id="73" w:name="_Toc69"/>
      <w:r>
        <w:rPr>
          <w:rFonts w:hint="eastAsia"/>
          <w:lang w:eastAsia="zh-CN"/>
        </w:rPr>
        <w:t xml:space="preserve">  太湖创意职业技术学院开展“五育并举”风采展示活动</w:t>
      </w:r>
      <w:r>
        <w:rPr>
          <w:rFonts w:hint="eastAsia"/>
          <w:lang w:val="en-US" w:eastAsia="zh-CN"/>
        </w:rPr>
        <w:t>现场一</w:t>
      </w:r>
      <w:bookmarkEnd w:id="71"/>
      <w:bookmarkEnd w:id="72"/>
      <w:bookmarkEnd w:id="73"/>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r>
        <w:rPr>
          <w:rFonts w:hint="eastAsia" w:ascii="微软雅黑" w:hAnsi="微软雅黑" w:eastAsia="微软雅黑" w:cs="微软雅黑"/>
          <w:i w:val="0"/>
          <w:iCs w:val="0"/>
          <w:caps w:val="0"/>
          <w:color w:val="3E3E3E"/>
          <w:spacing w:val="15"/>
          <w:sz w:val="22"/>
          <w:szCs w:val="22"/>
          <w:shd w:val="clear" w:fill="FFF4E9"/>
          <w:lang w:eastAsia="zh-CN"/>
        </w:rPr>
        <w:drawing>
          <wp:anchor distT="0" distB="0" distL="114300" distR="114300" simplePos="0" relativeHeight="251704320" behindDoc="0" locked="0" layoutInCell="1" allowOverlap="1">
            <wp:simplePos x="0" y="0"/>
            <wp:positionH relativeFrom="column">
              <wp:posOffset>314325</wp:posOffset>
            </wp:positionH>
            <wp:positionV relativeFrom="paragraph">
              <wp:posOffset>270510</wp:posOffset>
            </wp:positionV>
            <wp:extent cx="4722495" cy="3148965"/>
            <wp:effectExtent l="0" t="0" r="1905" b="13335"/>
            <wp:wrapNone/>
            <wp:docPr id="53" name="图片 53" descr="b1dbd2cdd5befbd635f2029d21790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b1dbd2cdd5befbd635f2029d21790cc8"/>
                    <pic:cNvPicPr>
                      <a:picLocks noChangeAspect="1"/>
                    </pic:cNvPicPr>
                  </pic:nvPicPr>
                  <pic:blipFill>
                    <a:blip r:embed="rId27"/>
                    <a:stretch>
                      <a:fillRect/>
                    </a:stretch>
                  </pic:blipFill>
                  <pic:spPr>
                    <a:xfrm>
                      <a:off x="0" y="0"/>
                      <a:ext cx="4722495" cy="314896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3E3E3E"/>
          <w:spacing w:val="15"/>
          <w:sz w:val="22"/>
          <w:szCs w:val="22"/>
          <w:shd w:val="clear" w:fill="FFF4E9"/>
          <w:lang w:eastAsia="zh-CN"/>
        </w:rPr>
      </w:pPr>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pPr>
      <w:bookmarkStart w:id="74" w:name="_Toc13918"/>
      <w:bookmarkStart w:id="75" w:name="_Toc11697"/>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rPr>
          <w:rFonts w:hint="default" w:ascii="微软雅黑" w:hAnsi="微软雅黑" w:eastAsia="宋体" w:cs="微软雅黑"/>
          <w:i w:val="0"/>
          <w:iCs w:val="0"/>
          <w:caps w:val="0"/>
          <w:color w:val="3E3E3E"/>
          <w:spacing w:val="15"/>
          <w:sz w:val="22"/>
          <w:szCs w:val="22"/>
          <w:shd w:val="clear" w:fill="FFF4E9"/>
          <w:lang w:val="en-US" w:eastAsia="zh-CN"/>
        </w:rPr>
      </w:pPr>
      <w:r>
        <w:t xml:space="preserve">图 </w:t>
      </w:r>
      <w:r>
        <w:fldChar w:fldCharType="begin"/>
      </w:r>
      <w:r>
        <w:instrText xml:space="preserve"> SEQ 图 \* ARABIC </w:instrText>
      </w:r>
      <w:r>
        <w:fldChar w:fldCharType="separate"/>
      </w:r>
      <w:r>
        <w:t>15</w:t>
      </w:r>
      <w:r>
        <w:fldChar w:fldCharType="end"/>
      </w:r>
      <w:bookmarkStart w:id="76" w:name="_Toc17812"/>
      <w:r>
        <w:rPr>
          <w:rFonts w:hint="eastAsia"/>
          <w:lang w:eastAsia="zh-CN"/>
        </w:rPr>
        <w:t xml:space="preserve">  太湖创意职业技术学院开展“五育并举”风采展示活动</w:t>
      </w:r>
      <w:r>
        <w:rPr>
          <w:rFonts w:hint="eastAsia"/>
          <w:lang w:val="en-US" w:eastAsia="zh-CN"/>
        </w:rPr>
        <w:t>现场二</w:t>
      </w:r>
      <w:bookmarkEnd w:id="74"/>
      <w:bookmarkEnd w:id="75"/>
      <w:bookmarkEnd w:id="76"/>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240" w:lineRule="auto"/>
        <w:textAlignment w:val="auto"/>
        <w:outlineLvl w:val="1"/>
        <w:rPr>
          <w:rFonts w:hint="eastAsia" w:ascii="宋体" w:hAnsi="宋体" w:cs="宋体"/>
          <w:b/>
          <w:bCs/>
          <w:sz w:val="28"/>
          <w:szCs w:val="28"/>
          <w:lang w:val="en-US" w:eastAsia="zh-CN"/>
        </w:rPr>
      </w:pPr>
    </w:p>
    <w:p>
      <w:pPr>
        <w:pStyle w:val="6"/>
        <w:spacing w:line="240" w:lineRule="auto"/>
        <w:rPr>
          <w:rFonts w:hint="eastAsia" w:ascii="楷体" w:hAnsi="楷体" w:eastAsia="楷体" w:cs="宋体"/>
          <w:bCs/>
          <w:kern w:val="2"/>
          <w:sz w:val="24"/>
          <w:szCs w:val="24"/>
          <w:lang w:val="en-US" w:eastAsia="zh-CN" w:bidi="ar-SA"/>
        </w:rPr>
      </w:pPr>
      <w:bookmarkStart w:id="77" w:name="_Toc17467"/>
      <w:r>
        <w:t xml:space="preserve">案例 2- </w:t>
      </w:r>
      <w:r>
        <w:fldChar w:fldCharType="begin"/>
      </w:r>
      <w:r>
        <w:instrText xml:space="preserve"> SEQ 案例_2- \* ARABIC </w:instrText>
      </w:r>
      <w:r>
        <w:fldChar w:fldCharType="separate"/>
      </w:r>
      <w:r>
        <w:t>7</w:t>
      </w:r>
      <w:r>
        <w:fldChar w:fldCharType="end"/>
      </w:r>
      <w:r>
        <w:rPr>
          <w:rFonts w:hint="eastAsia"/>
          <w:lang w:eastAsia="zh-CN"/>
        </w:rPr>
        <w:t xml:space="preserve">  【</w:t>
      </w:r>
      <w:r>
        <w:rPr>
          <w:rFonts w:hint="eastAsia"/>
          <w:lang w:val="en-US" w:eastAsia="zh-CN"/>
        </w:rPr>
        <w:t>太湖创意职业技术学院</w:t>
      </w:r>
      <w:r>
        <w:rPr>
          <w:rFonts w:hint="eastAsia"/>
          <w:lang w:eastAsia="zh-CN"/>
        </w:rPr>
        <w:t>组织国家安全普法讲座】</w:t>
      </w:r>
      <w:r>
        <w:rPr>
          <w:rFonts w:hint="eastAsia" w:ascii="楷体" w:hAnsi="楷体" w:eastAsia="楷体" w:cs="宋体"/>
          <w:bCs/>
          <w:kern w:val="2"/>
          <w:sz w:val="24"/>
          <w:szCs w:val="24"/>
          <w:lang w:val="en-US" w:eastAsia="zh-CN" w:bidi="ar-SA"/>
        </w:rPr>
        <w:t>国家安全是安邦定国的重要基石，维护国家安全是全国各族人民根本利益所在。第8个全民国家安全教育日活动主题为“贯彻总体国家安全观，增强全民国家安全意识和素养，夯实以新安全格局保障新发展格局的社会基础”。为了加强学校大学生的国家安全意识，落实培养能够适应国家安全事业发展需要的高素质人才，促进国家安全事业的发展。学校组织开展了职业教育活动周系列活动：信仰公开课之—国家安全 青年担当。</w:t>
      </w:r>
      <w:bookmarkEnd w:id="77"/>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r>
        <w:rPr>
          <w:rFonts w:hint="eastAsia" w:ascii="微软雅黑" w:hAnsi="微软雅黑" w:eastAsia="微软雅黑" w:cs="微软雅黑"/>
          <w:i w:val="0"/>
          <w:iCs w:val="0"/>
          <w:caps w:val="0"/>
          <w:color w:val="656565"/>
          <w:spacing w:val="30"/>
          <w:sz w:val="21"/>
          <w:szCs w:val="21"/>
          <w:shd w:val="clear" w:fill="FEFEFE"/>
          <w:lang w:val="en-US" w:eastAsia="zh-CN"/>
        </w:rPr>
        <w:drawing>
          <wp:anchor distT="0" distB="0" distL="114300" distR="114300" simplePos="0" relativeHeight="251706368" behindDoc="0" locked="0" layoutInCell="1" allowOverlap="1">
            <wp:simplePos x="0" y="0"/>
            <wp:positionH relativeFrom="column">
              <wp:posOffset>325755</wp:posOffset>
            </wp:positionH>
            <wp:positionV relativeFrom="paragraph">
              <wp:posOffset>15240</wp:posOffset>
            </wp:positionV>
            <wp:extent cx="4768850" cy="3576955"/>
            <wp:effectExtent l="0" t="0" r="12700" b="4445"/>
            <wp:wrapNone/>
            <wp:docPr id="55" name="图片 55" descr="c34ef665736a690429acb8a3bdafae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34ef665736a690429acb8a3bdafaea6"/>
                    <pic:cNvPicPr>
                      <a:picLocks noChangeAspect="1"/>
                    </pic:cNvPicPr>
                  </pic:nvPicPr>
                  <pic:blipFill>
                    <a:blip r:embed="rId28"/>
                    <a:stretch>
                      <a:fillRect/>
                    </a:stretch>
                  </pic:blipFill>
                  <pic:spPr>
                    <a:xfrm>
                      <a:off x="0" y="0"/>
                      <a:ext cx="4768850" cy="357695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rPr>
          <w:rFonts w:hint="eastAsia" w:ascii="微软雅黑" w:hAnsi="微软雅黑" w:eastAsia="宋体" w:cs="微软雅黑"/>
          <w:i w:val="0"/>
          <w:iCs w:val="0"/>
          <w:caps w:val="0"/>
          <w:color w:val="656565"/>
          <w:spacing w:val="30"/>
          <w:sz w:val="21"/>
          <w:szCs w:val="21"/>
          <w:shd w:val="clear" w:fill="FEFEFE"/>
          <w:lang w:val="en-US" w:eastAsia="zh-CN"/>
        </w:rPr>
      </w:pPr>
      <w:bookmarkStart w:id="78" w:name="_Toc8250"/>
      <w:bookmarkStart w:id="79" w:name="_Toc22092"/>
      <w:r>
        <w:t xml:space="preserve">图 </w:t>
      </w:r>
      <w:r>
        <w:fldChar w:fldCharType="begin"/>
      </w:r>
      <w:r>
        <w:instrText xml:space="preserve"> SEQ 图 \* ARABIC </w:instrText>
      </w:r>
      <w:r>
        <w:fldChar w:fldCharType="separate"/>
      </w:r>
      <w:r>
        <w:t>16</w:t>
      </w:r>
      <w:r>
        <w:fldChar w:fldCharType="end"/>
      </w:r>
      <w:bookmarkStart w:id="80" w:name="_Toc18022"/>
      <w:r>
        <w:rPr>
          <w:rFonts w:hint="eastAsia"/>
          <w:lang w:eastAsia="zh-CN"/>
        </w:rPr>
        <w:t xml:space="preserve">  太湖创意职业技术学院组织国家安全普法讲座现场一</w:t>
      </w:r>
      <w:bookmarkEnd w:id="78"/>
      <w:bookmarkEnd w:id="79"/>
      <w:bookmarkEnd w:id="80"/>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r>
        <w:rPr>
          <w:rFonts w:hint="eastAsia" w:ascii="微软雅黑" w:hAnsi="微软雅黑" w:eastAsia="微软雅黑" w:cs="微软雅黑"/>
          <w:i w:val="0"/>
          <w:iCs w:val="0"/>
          <w:caps w:val="0"/>
          <w:color w:val="656565"/>
          <w:spacing w:val="30"/>
          <w:sz w:val="21"/>
          <w:szCs w:val="21"/>
          <w:shd w:val="clear" w:fill="FEFEFE"/>
          <w:lang w:val="en-US" w:eastAsia="zh-CN"/>
        </w:rPr>
        <w:drawing>
          <wp:anchor distT="0" distB="0" distL="114300" distR="114300" simplePos="0" relativeHeight="251707392" behindDoc="0" locked="0" layoutInCell="1" allowOverlap="1">
            <wp:simplePos x="0" y="0"/>
            <wp:positionH relativeFrom="column">
              <wp:posOffset>298450</wp:posOffset>
            </wp:positionH>
            <wp:positionV relativeFrom="paragraph">
              <wp:posOffset>78105</wp:posOffset>
            </wp:positionV>
            <wp:extent cx="4768215" cy="3027680"/>
            <wp:effectExtent l="0" t="0" r="13335" b="1270"/>
            <wp:wrapNone/>
            <wp:docPr id="56" name="图片 56" descr="6affe9c7a3fccdfefc1d08aef10e3a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6affe9c7a3fccdfefc1d08aef10e3acd"/>
                    <pic:cNvPicPr>
                      <a:picLocks noChangeAspect="1"/>
                    </pic:cNvPicPr>
                  </pic:nvPicPr>
                  <pic:blipFill>
                    <a:blip r:embed="rId29"/>
                    <a:stretch>
                      <a:fillRect/>
                    </a:stretch>
                  </pic:blipFill>
                  <pic:spPr>
                    <a:xfrm>
                      <a:off x="0" y="0"/>
                      <a:ext cx="4768215" cy="302768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微软雅黑" w:hAnsi="微软雅黑" w:eastAsia="微软雅黑" w:cs="微软雅黑"/>
          <w:i w:val="0"/>
          <w:iCs w:val="0"/>
          <w:caps w:val="0"/>
          <w:color w:val="656565"/>
          <w:spacing w:val="30"/>
          <w:sz w:val="21"/>
          <w:szCs w:val="21"/>
          <w:shd w:val="clear" w:fill="FEFEFE"/>
          <w:lang w:val="en-US" w:eastAsia="zh-CN"/>
        </w:rPr>
      </w:pPr>
    </w:p>
    <w:p>
      <w:pPr>
        <w:pStyle w:val="6"/>
        <w:keepNext w:val="0"/>
        <w:keepLines w:val="0"/>
        <w:pageBreakBefore w:val="0"/>
        <w:widowControl w:val="0"/>
        <w:kinsoku/>
        <w:wordWrap/>
        <w:overflowPunct/>
        <w:topLinePunct w:val="0"/>
        <w:autoSpaceDE/>
        <w:autoSpaceDN/>
        <w:bidi w:val="0"/>
        <w:adjustRightInd/>
        <w:snapToGrid/>
        <w:spacing w:before="0" w:after="0" w:line="520" w:lineRule="exact"/>
        <w:jc w:val="center"/>
        <w:textAlignment w:val="auto"/>
        <w:outlineLvl w:val="1"/>
        <w:rPr>
          <w:rFonts w:hint="eastAsia" w:ascii="宋体" w:hAnsi="宋体" w:cs="宋体"/>
          <w:b/>
          <w:bCs/>
          <w:sz w:val="28"/>
          <w:szCs w:val="28"/>
          <w:lang w:val="en-US" w:eastAsia="zh-CN"/>
        </w:rPr>
      </w:pPr>
      <w:bookmarkStart w:id="81" w:name="_Toc22972"/>
      <w:bookmarkStart w:id="82" w:name="_Toc16582"/>
      <w:r>
        <w:t xml:space="preserve">图 </w:t>
      </w:r>
      <w:r>
        <w:fldChar w:fldCharType="begin"/>
      </w:r>
      <w:r>
        <w:instrText xml:space="preserve"> SEQ 图 \* ARABIC </w:instrText>
      </w:r>
      <w:r>
        <w:fldChar w:fldCharType="separate"/>
      </w:r>
      <w:r>
        <w:t>17</w:t>
      </w:r>
      <w:r>
        <w:fldChar w:fldCharType="end"/>
      </w:r>
      <w:bookmarkStart w:id="83" w:name="_Toc29617"/>
      <w:r>
        <w:rPr>
          <w:rFonts w:hint="eastAsia"/>
          <w:lang w:eastAsia="zh-CN"/>
        </w:rPr>
        <w:t xml:space="preserve">  太湖创意职业技术学院组织国家安全普法讲座现场二</w:t>
      </w:r>
      <w:bookmarkEnd w:id="81"/>
      <w:bookmarkEnd w:id="82"/>
      <w:bookmarkEnd w:id="83"/>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sz w:val="28"/>
          <w:szCs w:val="28"/>
        </w:rPr>
      </w:pPr>
      <w:bookmarkStart w:id="84" w:name="_Toc22317"/>
      <w:r>
        <w:rPr>
          <w:rFonts w:hint="eastAsia" w:ascii="宋体" w:hAnsi="宋体" w:cs="宋体"/>
          <w:b/>
          <w:bCs/>
          <w:sz w:val="28"/>
          <w:szCs w:val="28"/>
          <w:lang w:val="en-US" w:eastAsia="zh-CN"/>
        </w:rPr>
        <w:t>2.2技能成长</w:t>
      </w:r>
      <w:bookmarkEnd w:id="84"/>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20</w:t>
      </w:r>
      <w:r>
        <w:rPr>
          <w:rFonts w:hint="eastAsia" w:ascii="宋体" w:hAnsi="宋体" w:cs="宋体"/>
          <w:sz w:val="28"/>
          <w:szCs w:val="28"/>
          <w:lang w:val="en-US" w:eastAsia="zh-CN"/>
        </w:rPr>
        <w:t>22</w:t>
      </w:r>
      <w:r>
        <w:rPr>
          <w:rFonts w:hint="eastAsia" w:ascii="宋体" w:hAnsi="宋体" w:cs="宋体"/>
          <w:sz w:val="28"/>
          <w:szCs w:val="28"/>
        </w:rPr>
        <w:t>年和20</w:t>
      </w:r>
      <w:r>
        <w:rPr>
          <w:rFonts w:hint="eastAsia" w:ascii="宋体" w:hAnsi="宋体" w:cs="宋体"/>
          <w:sz w:val="28"/>
          <w:szCs w:val="28"/>
          <w:lang w:val="en-US" w:eastAsia="zh-CN"/>
        </w:rPr>
        <w:t>23</w:t>
      </w:r>
      <w:r>
        <w:rPr>
          <w:rFonts w:hint="eastAsia" w:ascii="宋体" w:hAnsi="宋体" w:cs="宋体"/>
          <w:sz w:val="28"/>
          <w:szCs w:val="28"/>
        </w:rPr>
        <w:t>年，学生在国家级、地市级及其他各级各类竞赛中多次获奖，比起20</w:t>
      </w:r>
      <w:r>
        <w:rPr>
          <w:rFonts w:hint="eastAsia" w:ascii="宋体" w:hAnsi="宋体" w:cs="宋体"/>
          <w:sz w:val="28"/>
          <w:szCs w:val="28"/>
          <w:lang w:val="en-US" w:eastAsia="zh-CN"/>
        </w:rPr>
        <w:t>21</w:t>
      </w:r>
      <w:r>
        <w:rPr>
          <w:rFonts w:hint="eastAsia" w:ascii="宋体" w:hAnsi="宋体" w:cs="宋体"/>
          <w:sz w:val="28"/>
          <w:szCs w:val="28"/>
        </w:rPr>
        <w:t>年有了较大幅度的提高。</w:t>
      </w:r>
    </w:p>
    <w:p>
      <w:pPr>
        <w:pStyle w:val="6"/>
        <w:jc w:val="center"/>
        <w:rPr>
          <w:rFonts w:hint="eastAsia" w:eastAsia="宋体"/>
          <w:lang w:eastAsia="zh-CN"/>
        </w:rPr>
      </w:pPr>
      <w:bookmarkStart w:id="85" w:name="_Toc12915"/>
      <w:r>
        <w:t xml:space="preserve">表 </w:t>
      </w:r>
      <w:r>
        <w:fldChar w:fldCharType="begin"/>
      </w:r>
      <w:r>
        <w:instrText xml:space="preserve"> SEQ 表 \* ARABIC </w:instrText>
      </w:r>
      <w:r>
        <w:fldChar w:fldCharType="separate"/>
      </w:r>
      <w:r>
        <w:t>8</w:t>
      </w:r>
      <w:r>
        <w:fldChar w:fldCharType="end"/>
      </w:r>
      <w:bookmarkStart w:id="86" w:name="_Toc19891"/>
      <w:bookmarkStart w:id="87" w:name="_Toc24931"/>
      <w:r>
        <w:rPr>
          <w:rFonts w:hint="eastAsia"/>
          <w:lang w:eastAsia="zh-CN"/>
        </w:rPr>
        <w:t xml:space="preserve">  学生获奖情况统计表</w:t>
      </w:r>
      <w:bookmarkEnd w:id="85"/>
      <w:bookmarkEnd w:id="86"/>
      <w:bookmarkEnd w:id="87"/>
    </w:p>
    <w:tbl>
      <w:tblPr>
        <w:tblStyle w:val="13"/>
        <w:tblpPr w:leftFromText="180" w:rightFromText="180" w:vertAnchor="text" w:horzAnchor="page" w:tblpX="2020" w:tblpY="407"/>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4346"/>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jc w:val="center"/>
              <w:rPr>
                <w:rFonts w:hint="eastAsia" w:ascii="宋体" w:hAnsi="宋体" w:cs="宋体"/>
                <w:b/>
                <w:bCs/>
              </w:rPr>
            </w:pPr>
            <w:r>
              <w:rPr>
                <w:rFonts w:hint="eastAsia" w:ascii="宋体" w:hAnsi="宋体" w:cs="宋体"/>
                <w:b/>
                <w:bCs/>
              </w:rPr>
              <w:t>竞赛级别</w:t>
            </w:r>
          </w:p>
        </w:tc>
        <w:tc>
          <w:tcPr>
            <w:tcW w:w="4346" w:type="dxa"/>
            <w:noWrap w:val="0"/>
            <w:vAlign w:val="center"/>
          </w:tcPr>
          <w:p>
            <w:pPr>
              <w:snapToGrid w:val="0"/>
              <w:spacing w:before="0" w:after="0" w:line="240" w:lineRule="auto"/>
              <w:jc w:val="center"/>
              <w:rPr>
                <w:rFonts w:hint="eastAsia" w:ascii="宋体" w:hAnsi="宋体" w:cs="宋体"/>
                <w:b/>
                <w:bCs/>
              </w:rPr>
            </w:pPr>
            <w:r>
              <w:rPr>
                <w:rFonts w:hint="eastAsia" w:ascii="宋体" w:hAnsi="宋体" w:cs="宋体"/>
                <w:b/>
                <w:bCs/>
              </w:rPr>
              <w:t>竞赛名称</w:t>
            </w:r>
          </w:p>
        </w:tc>
        <w:tc>
          <w:tcPr>
            <w:tcW w:w="2841" w:type="dxa"/>
            <w:noWrap w:val="0"/>
            <w:vAlign w:val="center"/>
          </w:tcPr>
          <w:p>
            <w:pPr>
              <w:snapToGrid w:val="0"/>
              <w:spacing w:before="0" w:after="0" w:line="240" w:lineRule="auto"/>
              <w:jc w:val="center"/>
              <w:rPr>
                <w:rFonts w:hint="eastAsia" w:ascii="宋体" w:hAnsi="宋体" w:cs="宋体"/>
                <w:b/>
                <w:bCs/>
              </w:rPr>
            </w:pPr>
            <w:r>
              <w:rPr>
                <w:rFonts w:hint="eastAsia" w:ascii="宋体" w:hAnsi="宋体" w:cs="宋体"/>
                <w:b/>
                <w:bCs/>
              </w:rPr>
              <w:t>获奖级别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335" w:type="dxa"/>
            <w:noWrap w:val="0"/>
            <w:vAlign w:val="center"/>
          </w:tcPr>
          <w:p>
            <w:pPr>
              <w:snapToGrid w:val="0"/>
              <w:spacing w:before="0" w:after="0" w:line="240" w:lineRule="auto"/>
              <w:rPr>
                <w:rFonts w:hint="eastAsia" w:ascii="宋体" w:hAnsi="宋体" w:eastAsia="宋体" w:cs="宋体"/>
                <w:kern w:val="2"/>
                <w:sz w:val="20"/>
                <w:szCs w:val="20"/>
                <w:lang w:val="en-US" w:eastAsia="zh-CN" w:bidi="ar-SA"/>
              </w:rPr>
            </w:pPr>
            <w:r>
              <w:rPr>
                <w:rFonts w:hint="eastAsia" w:ascii="宋体" w:hAnsi="宋体" w:cs="宋体"/>
                <w:sz w:val="20"/>
                <w:szCs w:val="20"/>
                <w:lang w:val="en-US" w:eastAsia="zh-CN"/>
              </w:rPr>
              <w:t>国家级</w:t>
            </w:r>
          </w:p>
        </w:tc>
        <w:tc>
          <w:tcPr>
            <w:tcW w:w="4346" w:type="dxa"/>
            <w:noWrap w:val="0"/>
            <w:vAlign w:val="center"/>
          </w:tcPr>
          <w:p>
            <w:pPr>
              <w:snapToGrid w:val="0"/>
              <w:spacing w:before="0" w:after="0" w:line="240" w:lineRule="auto"/>
              <w:rPr>
                <w:rFonts w:hint="eastAsia" w:ascii="宋体" w:hAnsi="宋体" w:eastAsia="宋体" w:cs="宋体"/>
                <w:kern w:val="2"/>
                <w:sz w:val="20"/>
                <w:szCs w:val="20"/>
                <w:lang w:val="en-US" w:eastAsia="zh-CN" w:bidi="ar-SA"/>
              </w:rPr>
            </w:pPr>
            <w:r>
              <w:rPr>
                <w:rFonts w:hint="eastAsia" w:ascii="宋体" w:hAnsi="宋体" w:cs="宋体"/>
                <w:sz w:val="20"/>
                <w:szCs w:val="20"/>
                <w:lang w:val="en-US" w:eastAsia="zh-CN"/>
              </w:rPr>
              <w:t>第六届“国青杯”全国高校艺术设计作品大赛</w:t>
            </w:r>
          </w:p>
        </w:tc>
        <w:tc>
          <w:tcPr>
            <w:tcW w:w="2841"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一等奖4项</w:t>
            </w:r>
          </w:p>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二等奖7项</w:t>
            </w:r>
          </w:p>
          <w:p>
            <w:pPr>
              <w:snapToGrid w:val="0"/>
              <w:spacing w:before="0" w:after="0" w:line="240" w:lineRule="auto"/>
              <w:rPr>
                <w:rFonts w:hint="eastAsia" w:ascii="宋体" w:hAnsi="宋体" w:eastAsia="宋体" w:cs="宋体"/>
                <w:kern w:val="2"/>
                <w:sz w:val="20"/>
                <w:szCs w:val="20"/>
                <w:lang w:val="en-US" w:eastAsia="zh-CN" w:bidi="ar-SA"/>
              </w:rPr>
            </w:pPr>
            <w:r>
              <w:rPr>
                <w:rFonts w:hint="eastAsia" w:ascii="宋体" w:hAnsi="宋体" w:cs="宋体"/>
                <w:sz w:val="20"/>
                <w:szCs w:val="20"/>
                <w:lang w:val="en-US" w:eastAsia="zh-CN"/>
              </w:rPr>
              <w:t>三等奖12项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lang w:val="en-US" w:eastAsia="zh-CN"/>
              </w:rPr>
              <w:t>国家级</w:t>
            </w:r>
          </w:p>
        </w:tc>
        <w:tc>
          <w:tcPr>
            <w:tcW w:w="4346" w:type="dxa"/>
            <w:noWrap w:val="0"/>
            <w:vAlign w:val="center"/>
          </w:tcPr>
          <w:p>
            <w:pPr>
              <w:snapToGrid w:val="0"/>
              <w:spacing w:before="0" w:after="0" w:line="240" w:lineRule="auto"/>
              <w:rPr>
                <w:rFonts w:hint="default" w:ascii="宋体" w:hAnsi="宋体" w:eastAsia="宋体" w:cs="宋体"/>
                <w:b w:val="0"/>
                <w:bCs w:val="0"/>
                <w:kern w:val="2"/>
                <w:sz w:val="20"/>
                <w:szCs w:val="20"/>
                <w:lang w:val="en-US" w:eastAsia="zh-CN" w:bidi="ar-SA"/>
              </w:rPr>
            </w:pPr>
            <w:r>
              <w:rPr>
                <w:rFonts w:hint="eastAsia" w:ascii="宋体" w:hAnsi="宋体" w:cs="宋体"/>
                <w:b w:val="0"/>
                <w:bCs w:val="0"/>
                <w:kern w:val="2"/>
                <w:sz w:val="20"/>
                <w:szCs w:val="20"/>
                <w:lang w:val="en-US" w:eastAsia="zh-CN" w:bidi="ar-SA"/>
              </w:rPr>
              <w:t>中国工程机器人大赛暨国际公开赛</w:t>
            </w:r>
          </w:p>
        </w:tc>
        <w:tc>
          <w:tcPr>
            <w:tcW w:w="2841" w:type="dxa"/>
            <w:noWrap w:val="0"/>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二等奖2项、优胜奖1项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省级</w:t>
            </w:r>
          </w:p>
        </w:tc>
        <w:tc>
          <w:tcPr>
            <w:tcW w:w="4346" w:type="dxa"/>
            <w:noWrap w:val="0"/>
            <w:vAlign w:val="center"/>
          </w:tcPr>
          <w:p>
            <w:pPr>
              <w:snapToGrid w:val="0"/>
              <w:spacing w:before="0" w:after="0" w:line="240" w:lineRule="auto"/>
              <w:rPr>
                <w:rFonts w:hint="eastAsia" w:ascii="宋体" w:hAnsi="宋体" w:eastAsia="宋体" w:cs="宋体"/>
                <w:b w:val="0"/>
                <w:bCs w:val="0"/>
                <w:kern w:val="2"/>
                <w:sz w:val="20"/>
                <w:szCs w:val="20"/>
                <w:lang w:val="en-US" w:eastAsia="zh-CN" w:bidi="ar-SA"/>
              </w:rPr>
            </w:pPr>
            <w:r>
              <w:rPr>
                <w:rFonts w:hint="eastAsia" w:ascii="宋体" w:hAnsi="宋体" w:eastAsia="宋体" w:cs="宋体"/>
                <w:b w:val="0"/>
                <w:bCs w:val="0"/>
                <w:kern w:val="2"/>
                <w:sz w:val="20"/>
                <w:szCs w:val="20"/>
                <w:lang w:val="en-US" w:eastAsia="zh-CN" w:bidi="ar-SA"/>
              </w:rPr>
              <w:t>第十八届“挑战杯”江苏省选拔赛</w:t>
            </w:r>
          </w:p>
        </w:tc>
        <w:tc>
          <w:tcPr>
            <w:tcW w:w="2841" w:type="dxa"/>
            <w:noWrap w:val="0"/>
            <w:vAlign w:val="center"/>
          </w:tcPr>
          <w:p>
            <w:pPr>
              <w:snapToGrid w:val="0"/>
              <w:spacing w:before="0" w:after="0" w:line="240" w:lineRule="auto"/>
              <w:rPr>
                <w:rFonts w:hint="default" w:ascii="宋体" w:hAnsi="宋体" w:eastAsia="宋体" w:cs="宋体"/>
                <w:sz w:val="20"/>
                <w:szCs w:val="20"/>
                <w:lang w:val="en-US" w:eastAsia="zh-CN"/>
              </w:rPr>
            </w:pPr>
            <w:r>
              <w:rPr>
                <w:rFonts w:hint="eastAsia" w:ascii="宋体" w:hAnsi="宋体" w:cs="宋体"/>
                <w:sz w:val="20"/>
                <w:szCs w:val="20"/>
                <w:lang w:val="en-US" w:eastAsia="zh-CN"/>
              </w:rPr>
              <w:t>三等奖2项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rPr>
                <w:rFonts w:hint="default" w:ascii="宋体" w:hAnsi="宋体" w:cs="宋体"/>
                <w:kern w:val="2"/>
                <w:sz w:val="20"/>
                <w:szCs w:val="20"/>
                <w:lang w:val="en-US" w:eastAsia="zh-CN" w:bidi="ar-SA"/>
              </w:rPr>
            </w:pPr>
            <w:r>
              <w:rPr>
                <w:rFonts w:hint="eastAsia" w:ascii="宋体" w:hAnsi="宋体" w:cs="宋体"/>
                <w:kern w:val="2"/>
                <w:sz w:val="20"/>
                <w:szCs w:val="20"/>
                <w:lang w:val="en-US" w:eastAsia="zh-CN" w:bidi="ar-SA"/>
              </w:rPr>
              <w:t>省级</w:t>
            </w:r>
          </w:p>
        </w:tc>
        <w:tc>
          <w:tcPr>
            <w:tcW w:w="4346" w:type="dxa"/>
            <w:noWrap w:val="0"/>
            <w:vAlign w:val="center"/>
          </w:tcPr>
          <w:p>
            <w:pPr>
              <w:snapToGrid w:val="0"/>
              <w:spacing w:before="0" w:after="0" w:line="240" w:lineRule="auto"/>
              <w:rPr>
                <w:rFonts w:hint="default" w:ascii="宋体" w:hAnsi="宋体" w:eastAsia="宋体" w:cs="宋体"/>
                <w:b w:val="0"/>
                <w:bCs w:val="0"/>
                <w:kern w:val="2"/>
                <w:sz w:val="20"/>
                <w:szCs w:val="20"/>
                <w:lang w:val="en-US" w:eastAsia="zh-CN" w:bidi="ar-SA"/>
              </w:rPr>
            </w:pPr>
            <w:r>
              <w:rPr>
                <w:rFonts w:hint="eastAsia" w:ascii="宋体" w:hAnsi="宋体" w:cs="宋体"/>
                <w:b w:val="0"/>
                <w:bCs w:val="0"/>
                <w:kern w:val="2"/>
                <w:sz w:val="20"/>
                <w:szCs w:val="20"/>
                <w:lang w:val="en-US" w:eastAsia="zh-CN" w:bidi="ar-SA"/>
              </w:rPr>
              <w:t>第十四届江苏省大学生机器人大赛</w:t>
            </w:r>
          </w:p>
        </w:tc>
        <w:tc>
          <w:tcPr>
            <w:tcW w:w="2841" w:type="dxa"/>
            <w:noWrap w:val="0"/>
            <w:vAlign w:val="center"/>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三等奖2项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rPr>
                <w:rFonts w:hint="eastAsia" w:ascii="宋体" w:hAnsi="宋体" w:eastAsia="宋体" w:cs="宋体"/>
                <w:kern w:val="2"/>
                <w:sz w:val="20"/>
                <w:szCs w:val="20"/>
                <w:lang w:val="en-US" w:eastAsia="zh-CN" w:bidi="ar-SA"/>
              </w:rPr>
            </w:pPr>
            <w:r>
              <w:rPr>
                <w:rFonts w:hint="eastAsia" w:ascii="宋体" w:hAnsi="宋体" w:cs="宋体"/>
                <w:sz w:val="20"/>
                <w:szCs w:val="20"/>
              </w:rPr>
              <w:t>市级</w:t>
            </w:r>
          </w:p>
        </w:tc>
        <w:tc>
          <w:tcPr>
            <w:tcW w:w="4346" w:type="dxa"/>
            <w:noWrap w:val="0"/>
            <w:vAlign w:val="center"/>
          </w:tcPr>
          <w:p>
            <w:pPr>
              <w:snapToGrid w:val="0"/>
              <w:spacing w:before="0" w:after="0" w:line="240" w:lineRule="auto"/>
              <w:rPr>
                <w:rFonts w:hint="eastAsia" w:ascii="宋体" w:hAnsi="宋体" w:eastAsia="宋体" w:cs="宋体"/>
                <w:b w:val="0"/>
                <w:bCs w:val="0"/>
                <w:kern w:val="2"/>
                <w:sz w:val="20"/>
                <w:szCs w:val="20"/>
                <w:lang w:val="en-US" w:eastAsia="zh-CN" w:bidi="ar-SA"/>
              </w:rPr>
            </w:pPr>
            <w:r>
              <w:rPr>
                <w:rFonts w:hint="eastAsia" w:ascii="宋体" w:hAnsi="宋体" w:eastAsia="宋体" w:cs="宋体"/>
                <w:b w:val="0"/>
                <w:bCs w:val="0"/>
                <w:kern w:val="2"/>
                <w:sz w:val="20"/>
                <w:szCs w:val="20"/>
                <w:lang w:val="en-US" w:eastAsia="zh-CN" w:bidi="ar-SA"/>
              </w:rPr>
              <w:t>英语翻译比赛</w:t>
            </w:r>
          </w:p>
        </w:tc>
        <w:tc>
          <w:tcPr>
            <w:tcW w:w="2841" w:type="dxa"/>
            <w:noWrap w:val="0"/>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一等奖1项</w:t>
            </w:r>
          </w:p>
          <w:p>
            <w:pPr>
              <w:snapToGrid w:val="0"/>
              <w:spacing w:before="0" w:after="0" w:line="240" w:lineRule="auto"/>
              <w:rPr>
                <w:rFonts w:hint="eastAsia" w:ascii="宋体" w:hAnsi="宋体" w:eastAsia="宋体" w:cs="宋体"/>
                <w:kern w:val="2"/>
                <w:sz w:val="20"/>
                <w:szCs w:val="20"/>
                <w:lang w:val="en-US" w:eastAsia="zh-CN" w:bidi="ar-SA"/>
              </w:rPr>
            </w:pPr>
            <w:r>
              <w:rPr>
                <w:rFonts w:hint="eastAsia" w:ascii="宋体" w:hAnsi="宋体" w:cs="宋体"/>
                <w:sz w:val="20"/>
                <w:szCs w:val="20"/>
              </w:rPr>
              <w:t>二等奖2项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rPr>
                <w:rFonts w:hint="eastAsia" w:ascii="宋体" w:hAnsi="宋体" w:eastAsia="宋体" w:cs="宋体"/>
                <w:kern w:val="2"/>
                <w:sz w:val="20"/>
                <w:szCs w:val="20"/>
                <w:lang w:val="en-US" w:eastAsia="zh-CN" w:bidi="ar-SA"/>
              </w:rPr>
            </w:pPr>
            <w:r>
              <w:rPr>
                <w:rFonts w:hint="eastAsia" w:ascii="宋体" w:hAnsi="宋体" w:cs="宋体"/>
                <w:sz w:val="20"/>
                <w:szCs w:val="20"/>
                <w:lang w:val="en-US" w:eastAsia="zh-CN"/>
              </w:rPr>
              <w:t>市级</w:t>
            </w:r>
          </w:p>
        </w:tc>
        <w:tc>
          <w:tcPr>
            <w:tcW w:w="4346" w:type="dxa"/>
            <w:noWrap w:val="0"/>
            <w:vAlign w:val="center"/>
          </w:tcPr>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40" w:lineRule="auto"/>
              <w:ind w:left="0" w:right="0" w:firstLine="0"/>
              <w:outlineLvl w:val="9"/>
              <w:rPr>
                <w:rFonts w:hint="eastAsia" w:ascii="宋体" w:hAnsi="宋体" w:eastAsia="宋体" w:cs="宋体"/>
                <w:b w:val="0"/>
                <w:bCs w:val="0"/>
                <w:kern w:val="2"/>
                <w:sz w:val="20"/>
                <w:szCs w:val="20"/>
                <w:lang w:val="en-US" w:eastAsia="zh-CN" w:bidi="ar-SA"/>
              </w:rPr>
            </w:pPr>
            <w:r>
              <w:rPr>
                <w:rFonts w:hint="eastAsia" w:ascii="宋体" w:hAnsi="宋体" w:eastAsia="宋体" w:cs="宋体"/>
                <w:b w:val="0"/>
                <w:bCs w:val="0"/>
                <w:kern w:val="2"/>
                <w:sz w:val="20"/>
                <w:szCs w:val="20"/>
                <w:lang w:val="en-US" w:eastAsia="zh-CN" w:bidi="ar-SA"/>
              </w:rPr>
              <w:t>无锡大中专院校书画摄影展评活动</w:t>
            </w:r>
          </w:p>
        </w:tc>
        <w:tc>
          <w:tcPr>
            <w:tcW w:w="2841"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二等奖1项</w:t>
            </w:r>
          </w:p>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sz w:val="20"/>
                <w:szCs w:val="20"/>
                <w:lang w:val="en-US" w:eastAsia="zh-CN"/>
              </w:rPr>
              <w:t>三等奖5项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rPr>
                <w:rFonts w:hint="eastAsia" w:ascii="宋体" w:hAnsi="宋体" w:eastAsia="宋体" w:cs="宋体"/>
                <w:kern w:val="2"/>
                <w:sz w:val="20"/>
                <w:szCs w:val="20"/>
                <w:lang w:val="en-US" w:eastAsia="zh-CN" w:bidi="ar-SA"/>
              </w:rPr>
            </w:pPr>
            <w:r>
              <w:rPr>
                <w:rFonts w:hint="eastAsia" w:ascii="宋体" w:hAnsi="宋体" w:cs="宋体"/>
                <w:sz w:val="20"/>
                <w:szCs w:val="20"/>
                <w:lang w:val="en-US" w:eastAsia="zh-CN"/>
              </w:rPr>
              <w:t>市级</w:t>
            </w:r>
          </w:p>
        </w:tc>
        <w:tc>
          <w:tcPr>
            <w:tcW w:w="4346" w:type="dxa"/>
            <w:noWrap w:val="0"/>
            <w:vAlign w:val="center"/>
          </w:tcPr>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40" w:lineRule="auto"/>
              <w:ind w:left="0" w:right="0" w:firstLine="0"/>
              <w:outlineLvl w:val="9"/>
              <w:rPr>
                <w:rFonts w:hint="eastAsia" w:ascii="宋体" w:hAnsi="宋体" w:eastAsia="宋体" w:cs="宋体"/>
                <w:b w:val="0"/>
                <w:bCs w:val="0"/>
                <w:kern w:val="2"/>
                <w:sz w:val="20"/>
                <w:szCs w:val="20"/>
                <w:lang w:val="en-US" w:eastAsia="zh-CN" w:bidi="ar-SA"/>
              </w:rPr>
            </w:pPr>
            <w:r>
              <w:rPr>
                <w:rFonts w:hint="eastAsia" w:ascii="宋体" w:hAnsi="宋体" w:eastAsia="宋体" w:cs="宋体"/>
                <w:b w:val="0"/>
                <w:bCs w:val="0"/>
                <w:kern w:val="2"/>
                <w:sz w:val="20"/>
                <w:szCs w:val="20"/>
                <w:lang w:val="en-US" w:eastAsia="zh-CN" w:bidi="ar-SA"/>
              </w:rPr>
              <w:t>无锡市第四届学生“诵读学传”大赛</w:t>
            </w:r>
          </w:p>
        </w:tc>
        <w:tc>
          <w:tcPr>
            <w:tcW w:w="2841" w:type="dxa"/>
            <w:noWrap w:val="0"/>
            <w:vAlign w:val="center"/>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sz w:val="20"/>
                <w:szCs w:val="20"/>
                <w:lang w:val="en-US" w:eastAsia="zh-CN"/>
              </w:rPr>
              <w:t>二等奖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rPr>
                <w:rFonts w:hint="eastAsia" w:ascii="宋体" w:hAnsi="宋体" w:eastAsia="宋体" w:cs="宋体"/>
                <w:kern w:val="2"/>
                <w:sz w:val="20"/>
                <w:szCs w:val="20"/>
                <w:lang w:val="en-US" w:eastAsia="zh-CN" w:bidi="ar-SA"/>
              </w:rPr>
            </w:pPr>
            <w:r>
              <w:rPr>
                <w:rFonts w:hint="eastAsia" w:ascii="宋体" w:hAnsi="宋体" w:cs="宋体"/>
                <w:sz w:val="20"/>
                <w:szCs w:val="20"/>
              </w:rPr>
              <w:t>市级</w:t>
            </w:r>
          </w:p>
        </w:tc>
        <w:tc>
          <w:tcPr>
            <w:tcW w:w="4346" w:type="dxa"/>
            <w:noWrap w:val="0"/>
            <w:vAlign w:val="center"/>
          </w:tcPr>
          <w:p>
            <w:pPr>
              <w:snapToGrid w:val="0"/>
              <w:spacing w:before="0" w:after="0" w:line="240" w:lineRule="auto"/>
              <w:rPr>
                <w:rFonts w:hint="eastAsia" w:ascii="宋体" w:hAnsi="宋体" w:eastAsia="宋体" w:cs="宋体"/>
                <w:b w:val="0"/>
                <w:bCs w:val="0"/>
                <w:kern w:val="2"/>
                <w:sz w:val="20"/>
                <w:szCs w:val="20"/>
                <w:lang w:val="en-US" w:eastAsia="zh-CN" w:bidi="ar-SA"/>
              </w:rPr>
            </w:pPr>
            <w:r>
              <w:rPr>
                <w:rFonts w:hint="eastAsia" w:ascii="宋体" w:hAnsi="宋体" w:eastAsia="宋体" w:cs="宋体"/>
                <w:b w:val="0"/>
                <w:bCs w:val="0"/>
                <w:kern w:val="2"/>
                <w:sz w:val="20"/>
                <w:szCs w:val="20"/>
                <w:lang w:val="en-US" w:eastAsia="zh-CN" w:bidi="ar-SA"/>
              </w:rPr>
              <w:t>创业实践组</w:t>
            </w:r>
          </w:p>
        </w:tc>
        <w:tc>
          <w:tcPr>
            <w:tcW w:w="2841" w:type="dxa"/>
            <w:noWrap w:val="0"/>
            <w:vAlign w:val="center"/>
          </w:tcPr>
          <w:p>
            <w:pPr>
              <w:snapToGrid w:val="0"/>
              <w:spacing w:before="0" w:after="0" w:line="240" w:lineRule="auto"/>
              <w:rPr>
                <w:rFonts w:hint="eastAsia" w:ascii="宋体" w:hAnsi="宋体" w:eastAsia="宋体" w:cs="宋体"/>
                <w:kern w:val="2"/>
                <w:sz w:val="20"/>
                <w:szCs w:val="20"/>
                <w:lang w:val="en-US" w:eastAsia="zh-CN" w:bidi="ar-SA"/>
              </w:rPr>
            </w:pPr>
            <w:r>
              <w:rPr>
                <w:rFonts w:hint="eastAsia" w:ascii="宋体" w:hAnsi="宋体" w:cs="宋体"/>
                <w:sz w:val="20"/>
                <w:szCs w:val="20"/>
              </w:rPr>
              <w:t>三等奖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市级</w:t>
            </w:r>
          </w:p>
        </w:tc>
        <w:tc>
          <w:tcPr>
            <w:tcW w:w="4346" w:type="dxa"/>
            <w:noWrap w:val="0"/>
            <w:vAlign w:val="center"/>
          </w:tcPr>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40" w:lineRule="auto"/>
              <w:ind w:left="0" w:right="0" w:firstLine="0"/>
              <w:outlineLvl w:val="9"/>
              <w:rPr>
                <w:rFonts w:hint="eastAsia" w:ascii="宋体" w:hAnsi="宋体" w:eastAsia="宋体" w:cs="宋体"/>
                <w:b w:val="0"/>
                <w:bCs w:val="0"/>
                <w:kern w:val="2"/>
                <w:sz w:val="20"/>
                <w:szCs w:val="20"/>
                <w:lang w:val="en-US" w:eastAsia="zh-CN" w:bidi="ar-SA"/>
              </w:rPr>
            </w:pPr>
            <w:r>
              <w:rPr>
                <w:rFonts w:hint="eastAsia" w:ascii="宋体" w:hAnsi="宋体" w:eastAsia="宋体" w:cs="宋体"/>
                <w:b w:val="0"/>
                <w:bCs w:val="0"/>
                <w:kern w:val="2"/>
                <w:sz w:val="20"/>
                <w:szCs w:val="20"/>
                <w:lang w:val="en-US" w:eastAsia="zh-CN" w:bidi="ar-SA"/>
              </w:rPr>
              <w:t>无锡市高校“诵读学传”主题诵读大赛</w:t>
            </w:r>
          </w:p>
        </w:tc>
        <w:tc>
          <w:tcPr>
            <w:tcW w:w="2841" w:type="dxa"/>
            <w:noWrap w:val="0"/>
            <w:vAlign w:val="center"/>
          </w:tcPr>
          <w:p>
            <w:pPr>
              <w:snapToGrid w:val="0"/>
              <w:spacing w:before="0" w:after="0" w:line="240" w:lineRule="auto"/>
              <w:rPr>
                <w:rFonts w:hint="default" w:ascii="宋体" w:hAnsi="宋体" w:cs="宋体"/>
                <w:sz w:val="20"/>
                <w:szCs w:val="20"/>
                <w:lang w:val="en-US"/>
              </w:rPr>
            </w:pPr>
            <w:r>
              <w:rPr>
                <w:rFonts w:hint="eastAsia" w:ascii="宋体" w:hAnsi="宋体" w:cs="宋体"/>
                <w:sz w:val="20"/>
                <w:szCs w:val="20"/>
                <w:lang w:val="en-US" w:eastAsia="zh-CN"/>
              </w:rPr>
              <w:t>二等奖2项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noWrap w:val="0"/>
            <w:vAlign w:val="center"/>
          </w:tcPr>
          <w:p>
            <w:pPr>
              <w:snapToGrid w:val="0"/>
              <w:spacing w:before="0" w:after="0" w:line="240" w:lineRule="auto"/>
              <w:rPr>
                <w:rFonts w:hint="eastAsia" w:ascii="宋体" w:hAnsi="宋体" w:cs="宋体"/>
                <w:sz w:val="20"/>
                <w:szCs w:val="20"/>
              </w:rPr>
            </w:pPr>
            <w:r>
              <w:rPr>
                <w:rFonts w:hint="eastAsia" w:ascii="宋体" w:hAnsi="宋体" w:cs="宋体"/>
                <w:sz w:val="20"/>
                <w:szCs w:val="20"/>
              </w:rPr>
              <w:t>市级</w:t>
            </w:r>
          </w:p>
        </w:tc>
        <w:tc>
          <w:tcPr>
            <w:tcW w:w="4346" w:type="dxa"/>
            <w:noWrap w:val="0"/>
            <w:vAlign w:val="center"/>
          </w:tcPr>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40" w:lineRule="auto"/>
              <w:ind w:left="0" w:right="0" w:firstLine="0"/>
              <w:outlineLvl w:val="9"/>
              <w:rPr>
                <w:rFonts w:hint="eastAsia" w:ascii="宋体" w:hAnsi="宋体" w:eastAsia="宋体" w:cs="宋体"/>
                <w:b w:val="0"/>
                <w:bCs w:val="0"/>
                <w:kern w:val="2"/>
                <w:sz w:val="20"/>
                <w:szCs w:val="20"/>
                <w:lang w:val="en-US" w:eastAsia="zh-CN" w:bidi="ar-SA"/>
              </w:rPr>
            </w:pPr>
            <w:r>
              <w:rPr>
                <w:rFonts w:hint="eastAsia" w:ascii="宋体" w:hAnsi="宋体" w:eastAsia="宋体" w:cs="宋体"/>
                <w:b w:val="0"/>
                <w:bCs w:val="0"/>
                <w:kern w:val="2"/>
                <w:sz w:val="20"/>
                <w:szCs w:val="20"/>
                <w:lang w:val="en-US" w:eastAsia="zh-CN" w:bidi="ar-SA"/>
              </w:rPr>
              <w:t>无锡市“青春防艾，健康同行”主题演讲大赛</w:t>
            </w:r>
          </w:p>
        </w:tc>
        <w:tc>
          <w:tcPr>
            <w:tcW w:w="2841" w:type="dxa"/>
            <w:noWrap w:val="0"/>
            <w:vAlign w:val="center"/>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一等奖</w:t>
            </w:r>
          </w:p>
        </w:tc>
      </w:tr>
    </w:tbl>
    <w:p>
      <w:pPr>
        <w:spacing w:before="0" w:after="0" w:line="240" w:lineRule="auto"/>
        <w:rPr>
          <w:rFonts w:hint="eastAsia" w:ascii="宋体" w:hAnsi="宋体" w:cs="宋体"/>
          <w:sz w:val="28"/>
          <w:szCs w:val="28"/>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0" w:afterAutospacing="0" w:line="240" w:lineRule="auto"/>
        <w:ind w:right="0"/>
        <w:outlineLvl w:val="9"/>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0" w:afterAutospacing="0" w:line="240" w:lineRule="auto"/>
        <w:ind w:right="0" w:firstLine="400" w:firstLineChars="200"/>
        <w:outlineLvl w:val="9"/>
      </w:pPr>
    </w:p>
    <w:p/>
    <w:p/>
    <w:p/>
    <w:p/>
    <w:p/>
    <w:p/>
    <w:p/>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rPr>
          <w:rFonts w:hint="eastAsia" w:ascii="楷体" w:hAnsi="楷体" w:eastAsia="楷体" w:cs="宋体"/>
          <w:b w:val="0"/>
          <w:bCs/>
          <w:kern w:val="2"/>
          <w:sz w:val="24"/>
          <w:szCs w:val="24"/>
          <w:lang w:val="en-US" w:eastAsia="zh-CN" w:bidi="ar-SA"/>
        </w:rPr>
      </w:pPr>
      <w:bookmarkStart w:id="88" w:name="_Toc3946"/>
      <w:r>
        <w:t xml:space="preserve">案例 2- </w:t>
      </w:r>
      <w:r>
        <w:fldChar w:fldCharType="begin"/>
      </w:r>
      <w:r>
        <w:instrText xml:space="preserve"> SEQ 案例_2- \* ARABIC </w:instrText>
      </w:r>
      <w:r>
        <w:fldChar w:fldCharType="separate"/>
      </w:r>
      <w:r>
        <w:t>8</w:t>
      </w:r>
      <w:r>
        <w:fldChar w:fldCharType="end"/>
      </w:r>
      <w:r>
        <w:rPr>
          <w:rFonts w:hint="eastAsia"/>
          <w:lang w:eastAsia="zh-CN"/>
        </w:rPr>
        <w:t xml:space="preserve">  【</w:t>
      </w:r>
      <w:r>
        <w:rPr>
          <w:rFonts w:hint="eastAsia"/>
          <w:lang w:val="en-US" w:eastAsia="zh-CN"/>
        </w:rPr>
        <w:t>太湖创意职业技术学院组织参加</w:t>
      </w:r>
      <w:r>
        <w:rPr>
          <w:rFonts w:hint="eastAsia"/>
          <w:lang w:eastAsia="zh-CN"/>
        </w:rPr>
        <w:t>第十二届全国校园财会大赛】</w:t>
      </w:r>
      <w:r>
        <w:rPr>
          <w:rFonts w:hint="eastAsia" w:ascii="楷体" w:hAnsi="楷体" w:eastAsia="楷体" w:cs="宋体"/>
          <w:b w:val="0"/>
          <w:bCs/>
          <w:kern w:val="2"/>
          <w:sz w:val="24"/>
          <w:szCs w:val="24"/>
          <w:lang w:val="en-US" w:eastAsia="zh-CN" w:bidi="ar-SA"/>
        </w:rPr>
        <w:t>“正保会计网校杯”第十二届全国校园财会大赛在学校举行，正保会计学院的学生们踊跃报名参加这项比赛。大赛已成功举办十一届，承办学校遍布全国31个省/直辖市，覆盖了全国上千所高校，逾百万学子，在督促在校学生加强财会知识和实践技能的学习，充分调动广大财会学子自主学习的积极性，提高在校学生综合就业能力和职场竞争力方面，起到了重大作用，已经成为众多财经高校展现风采，进行校际交流以及财经学子追梦圆梦的平台。这次大赛充分调动了学生的积极性，提高了专业能力，加深财会专业同学对专业知识和实务操作技能的理解，促进同学们拓展专业思路，提高专业技能。促进各大高校之间学术科技的交流及长期合作，共同致力于我国财会教育事业的发展。</w:t>
      </w:r>
      <w:bookmarkEnd w:id="88"/>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微软雅黑" w:hAnsi="微软雅黑" w:eastAsia="微软雅黑" w:cs="微软雅黑"/>
          <w:i w:val="0"/>
          <w:iCs w:val="0"/>
          <w:caps w:val="0"/>
          <w:color w:val="303030"/>
          <w:spacing w:val="23"/>
          <w:sz w:val="21"/>
          <w:szCs w:val="21"/>
          <w:shd w:val="clear" w:fill="FFFFFF"/>
          <w:lang w:eastAsia="zh-CN"/>
        </w:rPr>
      </w:pPr>
      <w:r>
        <w:rPr>
          <w:rFonts w:hint="eastAsia" w:ascii="微软雅黑" w:hAnsi="微软雅黑" w:eastAsia="微软雅黑" w:cs="微软雅黑"/>
          <w:i w:val="0"/>
          <w:iCs w:val="0"/>
          <w:caps w:val="0"/>
          <w:color w:val="303030"/>
          <w:spacing w:val="23"/>
          <w:sz w:val="21"/>
          <w:szCs w:val="21"/>
          <w:shd w:val="clear" w:fill="FFFFFF"/>
          <w:lang w:eastAsia="zh-CN"/>
        </w:rPr>
        <w:drawing>
          <wp:anchor distT="0" distB="0" distL="114300" distR="114300" simplePos="0" relativeHeight="251673600" behindDoc="0" locked="0" layoutInCell="1" allowOverlap="1">
            <wp:simplePos x="0" y="0"/>
            <wp:positionH relativeFrom="column">
              <wp:posOffset>152400</wp:posOffset>
            </wp:positionH>
            <wp:positionV relativeFrom="paragraph">
              <wp:posOffset>172085</wp:posOffset>
            </wp:positionV>
            <wp:extent cx="4931410" cy="2872740"/>
            <wp:effectExtent l="0" t="0" r="2540" b="3810"/>
            <wp:wrapNone/>
            <wp:docPr id="30" name="图片 30" descr="c913b5931891c61ef204cc457de6f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913b5931891c61ef204cc457de6f978"/>
                    <pic:cNvPicPr>
                      <a:picLocks noChangeAspect="1"/>
                    </pic:cNvPicPr>
                  </pic:nvPicPr>
                  <pic:blipFill>
                    <a:blip r:embed="rId30"/>
                    <a:stretch>
                      <a:fillRect/>
                    </a:stretch>
                  </pic:blipFill>
                  <pic:spPr>
                    <a:xfrm>
                      <a:off x="0" y="0"/>
                      <a:ext cx="4931410" cy="2872740"/>
                    </a:xfrm>
                    <a:prstGeom prst="rect">
                      <a:avLst/>
                    </a:prstGeom>
                  </pic:spPr>
                </pic:pic>
              </a:graphicData>
            </a:graphic>
          </wp:anchor>
        </w:drawing>
      </w: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微软雅黑" w:hAnsi="微软雅黑" w:eastAsia="微软雅黑" w:cs="微软雅黑"/>
          <w:i w:val="0"/>
          <w:iCs w:val="0"/>
          <w:caps w:val="0"/>
          <w:color w:val="303030"/>
          <w:spacing w:val="23"/>
          <w:sz w:val="21"/>
          <w:szCs w:val="21"/>
          <w:shd w:val="clear" w:fill="FFFFFF"/>
          <w:lang w:eastAsia="zh-CN"/>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微软雅黑" w:hAnsi="微软雅黑" w:eastAsia="微软雅黑" w:cs="微软雅黑"/>
          <w:i w:val="0"/>
          <w:iCs w:val="0"/>
          <w:caps w:val="0"/>
          <w:color w:val="303030"/>
          <w:spacing w:val="23"/>
          <w:sz w:val="21"/>
          <w:szCs w:val="21"/>
          <w:shd w:val="clear" w:fill="FFFFFF"/>
          <w:lang w:eastAsia="zh-CN"/>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微软雅黑" w:hAnsi="微软雅黑" w:eastAsia="微软雅黑" w:cs="微软雅黑"/>
          <w:i w:val="0"/>
          <w:iCs w:val="0"/>
          <w:caps w:val="0"/>
          <w:color w:val="303030"/>
          <w:spacing w:val="23"/>
          <w:sz w:val="21"/>
          <w:szCs w:val="21"/>
          <w:shd w:val="clear" w:fill="FFFFFF"/>
          <w:lang w:eastAsia="zh-CN"/>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微软雅黑" w:hAnsi="微软雅黑" w:eastAsia="微软雅黑" w:cs="微软雅黑"/>
          <w:i w:val="0"/>
          <w:iCs w:val="0"/>
          <w:caps w:val="0"/>
          <w:color w:val="303030"/>
          <w:spacing w:val="23"/>
          <w:sz w:val="21"/>
          <w:szCs w:val="21"/>
          <w:shd w:val="clear" w:fill="FFFFFF"/>
          <w:lang w:eastAsia="zh-CN"/>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微软雅黑" w:hAnsi="微软雅黑" w:eastAsia="微软雅黑" w:cs="微软雅黑"/>
          <w:i w:val="0"/>
          <w:iCs w:val="0"/>
          <w:caps w:val="0"/>
          <w:color w:val="303030"/>
          <w:spacing w:val="23"/>
          <w:sz w:val="21"/>
          <w:szCs w:val="21"/>
          <w:shd w:val="clear" w:fill="FFFFFF"/>
          <w:lang w:eastAsia="zh-CN"/>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ascii="微软雅黑" w:hAnsi="微软雅黑" w:eastAsia="微软雅黑" w:cs="微软雅黑"/>
          <w:i w:val="0"/>
          <w:iCs w:val="0"/>
          <w:caps w:val="0"/>
          <w:color w:val="303030"/>
          <w:spacing w:val="23"/>
          <w:sz w:val="21"/>
          <w:szCs w:val="21"/>
          <w:shd w:val="clear" w:fill="FFFFFF"/>
          <w:lang w:eastAsia="zh-CN"/>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ascii="微软雅黑" w:hAnsi="微软雅黑" w:eastAsia="微软雅黑" w:cs="微软雅黑"/>
          <w:i w:val="0"/>
          <w:iCs w:val="0"/>
          <w:caps w:val="0"/>
          <w:color w:val="303030"/>
          <w:spacing w:val="23"/>
          <w:sz w:val="21"/>
          <w:szCs w:val="21"/>
          <w:shd w:val="clear" w:fill="FFFFFF"/>
          <w:lang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jc w:val="center"/>
        <w:rPr>
          <w:rFonts w:hint="eastAsia" w:ascii="微软雅黑" w:hAnsi="微软雅黑" w:eastAsia="宋体" w:cs="微软雅黑"/>
          <w:i w:val="0"/>
          <w:iCs w:val="0"/>
          <w:caps w:val="0"/>
          <w:color w:val="303030"/>
          <w:spacing w:val="23"/>
          <w:sz w:val="21"/>
          <w:szCs w:val="21"/>
          <w:shd w:val="clear" w:fill="FFFFFF"/>
          <w:lang w:val="en-US" w:eastAsia="zh-CN"/>
        </w:rPr>
      </w:pPr>
      <w:bookmarkStart w:id="89" w:name="_Toc21151"/>
      <w:r>
        <w:t xml:space="preserve">图 </w:t>
      </w:r>
      <w:r>
        <w:fldChar w:fldCharType="begin"/>
      </w:r>
      <w:r>
        <w:instrText xml:space="preserve"> SEQ 图 \* ARABIC </w:instrText>
      </w:r>
      <w:r>
        <w:fldChar w:fldCharType="separate"/>
      </w:r>
      <w:r>
        <w:t>18</w:t>
      </w:r>
      <w:r>
        <w:fldChar w:fldCharType="end"/>
      </w:r>
      <w:bookmarkStart w:id="90" w:name="_Toc20750"/>
      <w:r>
        <w:rPr>
          <w:rFonts w:hint="eastAsia"/>
          <w:lang w:eastAsia="zh-CN"/>
        </w:rPr>
        <w:t xml:space="preserve">  太湖创意职业技术学院参加第十二届全国校园财会大赛现场一</w:t>
      </w:r>
      <w:bookmarkEnd w:id="89"/>
      <w:bookmarkEnd w:id="90"/>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楷体" w:hAnsi="楷体" w:eastAsia="楷体" w:cs="宋体"/>
          <w:b w:val="0"/>
          <w:bCs/>
          <w:kern w:val="2"/>
          <w:sz w:val="24"/>
          <w:szCs w:val="24"/>
          <w:lang w:val="en-US" w:eastAsia="zh-CN" w:bidi="ar-SA"/>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楷体" w:hAnsi="楷体" w:eastAsia="楷体" w:cs="宋体"/>
          <w:b w:val="0"/>
          <w:bCs/>
          <w:kern w:val="2"/>
          <w:sz w:val="24"/>
          <w:szCs w:val="24"/>
          <w:lang w:val="en-US" w:eastAsia="zh-CN" w:bidi="ar-SA"/>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楷体" w:hAnsi="楷体" w:eastAsia="楷体" w:cs="宋体"/>
          <w:b w:val="0"/>
          <w:bCs/>
          <w:kern w:val="2"/>
          <w:sz w:val="24"/>
          <w:szCs w:val="24"/>
          <w:lang w:val="en-US" w:eastAsia="zh-CN" w:bidi="ar-SA"/>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楷体" w:hAnsi="楷体" w:eastAsia="楷体" w:cs="宋体"/>
          <w:b w:val="0"/>
          <w:bCs/>
          <w:kern w:val="2"/>
          <w:sz w:val="24"/>
          <w:szCs w:val="24"/>
          <w:lang w:val="en-US" w:eastAsia="zh-CN" w:bidi="ar-SA"/>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楷体" w:hAnsi="楷体" w:eastAsia="楷体" w:cs="宋体"/>
          <w:b w:val="0"/>
          <w:bCs/>
          <w:kern w:val="2"/>
          <w:sz w:val="24"/>
          <w:szCs w:val="24"/>
          <w:lang w:val="en-US" w:eastAsia="zh-CN" w:bidi="ar-SA"/>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楷体" w:hAnsi="楷体" w:eastAsia="楷体" w:cs="宋体"/>
          <w:b w:val="0"/>
          <w:bCs/>
          <w:kern w:val="2"/>
          <w:sz w:val="24"/>
          <w:szCs w:val="24"/>
          <w:lang w:val="en-US" w:eastAsia="zh-CN" w:bidi="ar-SA"/>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楷体" w:hAnsi="楷体" w:eastAsia="楷体" w:cs="宋体"/>
          <w:b w:val="0"/>
          <w:bCs/>
          <w:kern w:val="2"/>
          <w:sz w:val="24"/>
          <w:szCs w:val="24"/>
          <w:lang w:val="en-US" w:eastAsia="zh-CN" w:bidi="ar-SA"/>
        </w:rPr>
      </w:pP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65"/>
        <w:rPr>
          <w:rFonts w:hint="eastAsia" w:ascii="楷体" w:hAnsi="楷体" w:eastAsia="楷体" w:cs="宋体"/>
          <w:b w:val="0"/>
          <w:bCs/>
          <w:kern w:val="2"/>
          <w:sz w:val="24"/>
          <w:szCs w:val="24"/>
          <w:lang w:val="en-US" w:eastAsia="zh-CN" w:bidi="ar-SA"/>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val="en-US"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r>
        <w:rPr>
          <w:rFonts w:hint="eastAsia" w:ascii="微软雅黑" w:hAnsi="微软雅黑" w:eastAsia="微软雅黑" w:cs="微软雅黑"/>
          <w:i w:val="0"/>
          <w:iCs w:val="0"/>
          <w:caps w:val="0"/>
          <w:color w:val="303030"/>
          <w:spacing w:val="23"/>
          <w:sz w:val="21"/>
          <w:szCs w:val="21"/>
          <w:shd w:val="clear" w:fill="FFFFFF"/>
          <w:lang w:eastAsia="zh-CN"/>
        </w:rPr>
        <w:drawing>
          <wp:anchor distT="0" distB="0" distL="114300" distR="114300" simplePos="0" relativeHeight="251672576" behindDoc="0" locked="0" layoutInCell="1" allowOverlap="1">
            <wp:simplePos x="0" y="0"/>
            <wp:positionH relativeFrom="column">
              <wp:posOffset>238125</wp:posOffset>
            </wp:positionH>
            <wp:positionV relativeFrom="paragraph">
              <wp:posOffset>1905</wp:posOffset>
            </wp:positionV>
            <wp:extent cx="4926965" cy="3397250"/>
            <wp:effectExtent l="0" t="0" r="6985" b="12700"/>
            <wp:wrapNone/>
            <wp:docPr id="29" name="图片 29" descr="a7aae0ec92238a287f70c06156b8b9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a7aae0ec92238a287f70c06156b8b98c"/>
                    <pic:cNvPicPr>
                      <a:picLocks noChangeAspect="1"/>
                    </pic:cNvPicPr>
                  </pic:nvPicPr>
                  <pic:blipFill>
                    <a:blip r:embed="rId31"/>
                    <a:stretch>
                      <a:fillRect/>
                    </a:stretch>
                  </pic:blipFill>
                  <pic:spPr>
                    <a:xfrm>
                      <a:off x="0" y="0"/>
                      <a:ext cx="4926965" cy="3397250"/>
                    </a:xfrm>
                    <a:prstGeom prst="rect">
                      <a:avLst/>
                    </a:prstGeom>
                  </pic:spPr>
                </pic:pic>
              </a:graphicData>
            </a:graphic>
          </wp:anchor>
        </w:drawing>
      </w: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eastAsia="zh-CN"/>
        </w:rPr>
      </w:pPr>
    </w:p>
    <w:p>
      <w:pPr>
        <w:pStyle w:val="6"/>
        <w:spacing w:before="0" w:after="0" w:line="240" w:lineRule="auto"/>
        <w:jc w:val="center"/>
        <w:rPr>
          <w:rFonts w:hint="eastAsia" w:ascii="微软雅黑" w:hAnsi="微软雅黑" w:eastAsia="宋体" w:cs="微软雅黑"/>
          <w:i w:val="0"/>
          <w:iCs w:val="0"/>
          <w:caps w:val="0"/>
          <w:color w:val="303030"/>
          <w:spacing w:val="23"/>
          <w:sz w:val="21"/>
          <w:szCs w:val="21"/>
          <w:shd w:val="clear" w:fill="FFFFFF"/>
          <w:lang w:val="en-US" w:eastAsia="zh-CN"/>
        </w:rPr>
      </w:pPr>
      <w:bookmarkStart w:id="91" w:name="_Toc3173"/>
      <w:r>
        <w:t xml:space="preserve">图 </w:t>
      </w:r>
      <w:r>
        <w:fldChar w:fldCharType="begin"/>
      </w:r>
      <w:r>
        <w:instrText xml:space="preserve"> SEQ 图 \* ARABIC </w:instrText>
      </w:r>
      <w:r>
        <w:fldChar w:fldCharType="separate"/>
      </w:r>
      <w:r>
        <w:t>19</w:t>
      </w:r>
      <w:r>
        <w:fldChar w:fldCharType="end"/>
      </w:r>
      <w:bookmarkStart w:id="92" w:name="_Toc378"/>
      <w:r>
        <w:rPr>
          <w:rFonts w:hint="eastAsia"/>
          <w:lang w:eastAsia="zh-CN"/>
        </w:rPr>
        <w:t xml:space="preserve">  太湖创意职业技术学院参加第十二届全国校园财会大赛现场二</w:t>
      </w:r>
      <w:bookmarkEnd w:id="91"/>
      <w:bookmarkEnd w:id="92"/>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val="en-US"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val="en-US"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val="en-US" w:eastAsia="zh-CN"/>
        </w:rPr>
      </w:pPr>
    </w:p>
    <w:p>
      <w:pPr>
        <w:spacing w:before="0" w:after="0" w:line="240" w:lineRule="auto"/>
        <w:rPr>
          <w:rFonts w:hint="eastAsia" w:ascii="微软雅黑" w:hAnsi="微软雅黑" w:eastAsia="微软雅黑" w:cs="微软雅黑"/>
          <w:i w:val="0"/>
          <w:iCs w:val="0"/>
          <w:caps w:val="0"/>
          <w:color w:val="303030"/>
          <w:spacing w:val="23"/>
          <w:sz w:val="21"/>
          <w:szCs w:val="21"/>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pStyle w:val="6"/>
        <w:spacing w:line="240" w:lineRule="auto"/>
        <w:rPr>
          <w:rFonts w:hint="eastAsia" w:ascii="楷体" w:hAnsi="楷体" w:eastAsia="楷体" w:cs="宋体"/>
          <w:b w:val="0"/>
          <w:bCs/>
          <w:kern w:val="2"/>
          <w:sz w:val="24"/>
          <w:szCs w:val="24"/>
          <w:lang w:val="en-US" w:eastAsia="zh-CN" w:bidi="ar-SA"/>
        </w:rPr>
      </w:pPr>
      <w:bookmarkStart w:id="93" w:name="_Toc24529"/>
      <w:r>
        <w:t xml:space="preserve">案例 2- </w:t>
      </w:r>
      <w:r>
        <w:fldChar w:fldCharType="begin"/>
      </w:r>
      <w:r>
        <w:instrText xml:space="preserve"> SEQ 案例_2- \* ARABIC </w:instrText>
      </w:r>
      <w:r>
        <w:fldChar w:fldCharType="separate"/>
      </w:r>
      <w:r>
        <w:t>9</w:t>
      </w:r>
      <w:r>
        <w:fldChar w:fldCharType="end"/>
      </w:r>
      <w:r>
        <w:rPr>
          <w:rFonts w:hint="eastAsia"/>
          <w:lang w:eastAsia="zh-CN"/>
        </w:rPr>
        <w:t xml:space="preserve">  【</w:t>
      </w:r>
      <w:r>
        <w:rPr>
          <w:rFonts w:hint="eastAsia"/>
          <w:lang w:val="en-US" w:eastAsia="zh-CN"/>
        </w:rPr>
        <w:t>太湖创意职业技术学院参加</w:t>
      </w:r>
      <w:r>
        <w:rPr>
          <w:rFonts w:hint="eastAsia"/>
          <w:lang w:eastAsia="zh-CN"/>
        </w:rPr>
        <w:t>第六届“国青杯”全国高校艺术设计作品大赛】</w:t>
      </w:r>
      <w:r>
        <w:rPr>
          <w:rFonts w:hint="eastAsia" w:ascii="楷体" w:hAnsi="楷体" w:eastAsia="楷体" w:cs="宋体"/>
          <w:b w:val="0"/>
          <w:bCs/>
          <w:kern w:val="2"/>
          <w:sz w:val="24"/>
          <w:szCs w:val="24"/>
          <w:lang w:val="en-US" w:eastAsia="zh-CN" w:bidi="ar-SA"/>
        </w:rPr>
        <w:t>为深入贯彻落实教育部《关于切实加强新时代高等学校美育工作的意见》精神，进一步强化学校美育育人功能，推动高校艺术设计教育的改革与发展。中国人生科学学会艺术教育专业委员会特举办全国高校艺术设计作品征集活动，旨在探索艺术设计教育发展新趋势，创新艺术设计人才培养机制，提高艺术设计人才培养能力，为广大高校师生搭建一个相互交流和提高的平台。学校艺术设计学院积极响应本次征集活动，精心组织，悉心创作，遴选出优秀作品参赛，获得了优异成绩。</w:t>
      </w:r>
      <w:bookmarkEnd w:id="93"/>
    </w:p>
    <w:p>
      <w:pPr>
        <w:rPr>
          <w:rFonts w:hint="eastAsia" w:ascii="微软雅黑" w:hAnsi="微软雅黑" w:eastAsia="微软雅黑" w:cs="微软雅黑"/>
          <w:i w:val="0"/>
          <w:iCs w:val="0"/>
          <w:caps w:val="0"/>
          <w:color w:val="5D5D5D"/>
          <w:spacing w:val="8"/>
          <w:sz w:val="22"/>
          <w:szCs w:val="22"/>
          <w:shd w:val="clear" w:fill="F2F6FC"/>
          <w:lang w:val="en-US" w:eastAsia="zh-CN"/>
        </w:rPr>
      </w:pPr>
      <w:r>
        <w:rPr>
          <w:rFonts w:hint="eastAsia" w:ascii="微软雅黑" w:hAnsi="微软雅黑" w:eastAsia="微软雅黑" w:cs="微软雅黑"/>
          <w:i w:val="0"/>
          <w:iCs w:val="0"/>
          <w:caps w:val="0"/>
          <w:color w:val="5D5D5D"/>
          <w:spacing w:val="8"/>
          <w:sz w:val="22"/>
          <w:szCs w:val="22"/>
          <w:shd w:val="clear" w:fill="F2F6FC"/>
          <w:lang w:val="en-US" w:eastAsia="zh-CN"/>
        </w:rPr>
        <w:drawing>
          <wp:anchor distT="0" distB="0" distL="114300" distR="114300" simplePos="0" relativeHeight="251674624" behindDoc="0" locked="0" layoutInCell="1" allowOverlap="1">
            <wp:simplePos x="0" y="0"/>
            <wp:positionH relativeFrom="column">
              <wp:posOffset>542290</wp:posOffset>
            </wp:positionH>
            <wp:positionV relativeFrom="paragraph">
              <wp:posOffset>61595</wp:posOffset>
            </wp:positionV>
            <wp:extent cx="3990975" cy="5646420"/>
            <wp:effectExtent l="0" t="0" r="9525" b="11430"/>
            <wp:wrapNone/>
            <wp:docPr id="31" name="图片 31" descr="2dcb7c09511d254c72a5160bda3e4e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dcb7c09511d254c72a5160bda3e4e6b"/>
                    <pic:cNvPicPr>
                      <a:picLocks noChangeAspect="1"/>
                    </pic:cNvPicPr>
                  </pic:nvPicPr>
                  <pic:blipFill>
                    <a:blip r:embed="rId32"/>
                    <a:stretch>
                      <a:fillRect/>
                    </a:stretch>
                  </pic:blipFill>
                  <pic:spPr>
                    <a:xfrm>
                      <a:off x="0" y="0"/>
                      <a:ext cx="3990975" cy="5646420"/>
                    </a:xfrm>
                    <a:prstGeom prst="rect">
                      <a:avLst/>
                    </a:prstGeom>
                  </pic:spPr>
                </pic:pic>
              </a:graphicData>
            </a:graphic>
          </wp:anchor>
        </w:drawing>
      </w: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rPr>
          <w:rFonts w:hint="eastAsia" w:ascii="微软雅黑" w:hAnsi="微软雅黑" w:eastAsia="微软雅黑" w:cs="微软雅黑"/>
          <w:i w:val="0"/>
          <w:iCs w:val="0"/>
          <w:caps w:val="0"/>
          <w:color w:val="5D5D5D"/>
          <w:spacing w:val="8"/>
          <w:sz w:val="22"/>
          <w:szCs w:val="22"/>
          <w:shd w:val="clear" w:fill="F2F6FC"/>
          <w:lang w:val="en-US" w:eastAsia="zh-CN"/>
        </w:rPr>
      </w:pPr>
    </w:p>
    <w:p>
      <w:pPr>
        <w:pStyle w:val="6"/>
        <w:jc w:val="center"/>
        <w:rPr>
          <w:rFonts w:hint="eastAsia" w:ascii="微软雅黑" w:hAnsi="微软雅黑" w:eastAsia="宋体" w:cs="微软雅黑"/>
          <w:i w:val="0"/>
          <w:iCs w:val="0"/>
          <w:caps w:val="0"/>
          <w:color w:val="5D5D5D"/>
          <w:spacing w:val="8"/>
          <w:sz w:val="22"/>
          <w:szCs w:val="22"/>
          <w:shd w:val="clear" w:fill="F2F6FC"/>
          <w:lang w:val="en-US" w:eastAsia="zh-CN"/>
        </w:rPr>
      </w:pPr>
      <w:bookmarkStart w:id="94" w:name="_Toc644"/>
      <w:r>
        <w:t xml:space="preserve">图 </w:t>
      </w:r>
      <w:r>
        <w:fldChar w:fldCharType="begin"/>
      </w:r>
      <w:r>
        <w:instrText xml:space="preserve"> SEQ 图 \* ARABIC </w:instrText>
      </w:r>
      <w:r>
        <w:fldChar w:fldCharType="separate"/>
      </w:r>
      <w:r>
        <w:t>20</w:t>
      </w:r>
      <w:r>
        <w:fldChar w:fldCharType="end"/>
      </w:r>
      <w:bookmarkStart w:id="95" w:name="_Toc30464"/>
      <w:r>
        <w:rPr>
          <w:rFonts w:hint="eastAsia"/>
          <w:lang w:eastAsia="zh-CN"/>
        </w:rPr>
        <w:t xml:space="preserve">  太湖创意职业技术学院参加第六届“国青杯”全国高校艺术设计作品大赛获奖名单</w:t>
      </w:r>
      <w:bookmarkEnd w:id="94"/>
      <w:bookmarkEnd w:id="95"/>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1"/>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96" w:name="_Toc24262"/>
      <w:r>
        <w:rPr>
          <w:rFonts w:hint="eastAsia" w:ascii="宋体" w:hAnsi="宋体" w:cs="宋体"/>
          <w:b/>
          <w:bCs/>
          <w:sz w:val="28"/>
          <w:szCs w:val="28"/>
          <w:lang w:val="en-US" w:eastAsia="zh-CN"/>
        </w:rPr>
        <w:t>2.3多样成才</w:t>
      </w:r>
      <w:bookmarkEnd w:id="96"/>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学校通过组织丰富多彩的实践活动，为学生搭建全方位发展的平台。</w:t>
      </w:r>
    </w:p>
    <w:p>
      <w:pPr>
        <w:pStyle w:val="6"/>
        <w:spacing w:line="240" w:lineRule="auto"/>
        <w:rPr>
          <w:rFonts w:hint="eastAsia" w:ascii="楷体" w:hAnsi="楷体" w:eastAsia="楷体" w:cs="宋体"/>
          <w:b w:val="0"/>
          <w:bCs/>
          <w:kern w:val="2"/>
          <w:sz w:val="24"/>
          <w:szCs w:val="24"/>
          <w:lang w:val="en-US" w:eastAsia="zh-CN" w:bidi="ar-SA"/>
        </w:rPr>
      </w:pPr>
      <w:bookmarkStart w:id="97" w:name="_Toc9722"/>
      <w:r>
        <w:t xml:space="preserve">案例 2- </w:t>
      </w:r>
      <w:r>
        <w:fldChar w:fldCharType="begin"/>
      </w:r>
      <w:r>
        <w:instrText xml:space="preserve"> SEQ 案例_2- \* ARABIC </w:instrText>
      </w:r>
      <w:r>
        <w:fldChar w:fldCharType="separate"/>
      </w:r>
      <w:r>
        <w:t>10</w:t>
      </w:r>
      <w:r>
        <w:fldChar w:fldCharType="end"/>
      </w:r>
      <w:r>
        <w:rPr>
          <w:rFonts w:hint="eastAsia"/>
          <w:lang w:eastAsia="zh-CN"/>
        </w:rPr>
        <w:t xml:space="preserve">  【</w:t>
      </w:r>
      <w:r>
        <w:rPr>
          <w:rFonts w:hint="eastAsia"/>
          <w:lang w:val="en-US" w:eastAsia="zh-CN"/>
        </w:rPr>
        <w:t>太湖创意职业技术学院</w:t>
      </w:r>
      <w:r>
        <w:rPr>
          <w:rFonts w:hint="eastAsia"/>
          <w:lang w:eastAsia="zh-CN"/>
        </w:rPr>
        <w:t>开展暑期社会实践“云支教”活动】</w:t>
      </w:r>
      <w:r>
        <w:rPr>
          <w:rFonts w:hint="eastAsia" w:ascii="楷体" w:hAnsi="楷体" w:eastAsia="楷体" w:cs="宋体"/>
          <w:b w:val="0"/>
          <w:bCs/>
          <w:kern w:val="2"/>
          <w:sz w:val="24"/>
          <w:szCs w:val="24"/>
          <w:lang w:val="en-US" w:eastAsia="zh-CN" w:bidi="ar-SA"/>
        </w:rPr>
        <w:t>“一起云支教 强国有我 奋进中国式现代化”大学生 2023 年暑假“返家乡”社会实践专项活动。组织返乡大学生通过网络对接小学二年级至高中一年级学生，特别是农村留守儿童、单亲家庭儿童、残障儿童、贫困家庭儿童等困境儿童， 广泛开展“一起快乐阅读”“一起健康运动”“一起云课堂”等活动。通过活动深入学习宣传党的二十大精神，贯彻落实习近平总书记关于青年工作的重要思想，深入学习习近平总书记在庆祝中国共产主义青年团成立100周年大会上的重要讲话精神，向广大青年做深做实习近平新时代中国特色社会主义思想宣传教育。</w:t>
      </w:r>
      <w:bookmarkEnd w:id="97"/>
    </w:p>
    <w:p>
      <w:pPr>
        <w:rPr>
          <w:rFonts w:hint="eastAsia" w:ascii="微软雅黑" w:hAnsi="微软雅黑" w:eastAsia="微软雅黑" w:cs="微软雅黑"/>
          <w:i w:val="0"/>
          <w:iCs w:val="0"/>
          <w:caps w:val="0"/>
          <w:spacing w:val="15"/>
          <w:sz w:val="22"/>
          <w:szCs w:val="22"/>
          <w:shd w:val="clear" w:fill="F7FFF7"/>
          <w:lang w:eastAsia="zh-CN"/>
        </w:rPr>
      </w:pPr>
      <w:r>
        <w:rPr>
          <w:rFonts w:hint="eastAsia" w:ascii="微软雅黑" w:hAnsi="微软雅黑" w:eastAsia="微软雅黑" w:cs="微软雅黑"/>
          <w:i w:val="0"/>
          <w:iCs w:val="0"/>
          <w:caps w:val="0"/>
          <w:spacing w:val="15"/>
          <w:sz w:val="22"/>
          <w:szCs w:val="22"/>
          <w:shd w:val="clear" w:fill="F7FFF7"/>
          <w:lang w:eastAsia="zh-CN"/>
        </w:rPr>
        <w:drawing>
          <wp:anchor distT="0" distB="0" distL="114300" distR="114300" simplePos="0" relativeHeight="251675648" behindDoc="0" locked="0" layoutInCell="1" allowOverlap="1">
            <wp:simplePos x="0" y="0"/>
            <wp:positionH relativeFrom="column">
              <wp:posOffset>610235</wp:posOffset>
            </wp:positionH>
            <wp:positionV relativeFrom="paragraph">
              <wp:posOffset>12065</wp:posOffset>
            </wp:positionV>
            <wp:extent cx="4025265" cy="5692140"/>
            <wp:effectExtent l="0" t="0" r="13335" b="3810"/>
            <wp:wrapNone/>
            <wp:docPr id="5" name="图片 5" descr="f94d6bc3a22af3de5fad1e0554640c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94d6bc3a22af3de5fad1e0554640c7f"/>
                    <pic:cNvPicPr>
                      <a:picLocks noChangeAspect="1"/>
                    </pic:cNvPicPr>
                  </pic:nvPicPr>
                  <pic:blipFill>
                    <a:blip r:embed="rId33"/>
                    <a:stretch>
                      <a:fillRect/>
                    </a:stretch>
                  </pic:blipFill>
                  <pic:spPr>
                    <a:xfrm>
                      <a:off x="0" y="0"/>
                      <a:ext cx="4025265" cy="5692140"/>
                    </a:xfrm>
                    <a:prstGeom prst="rect">
                      <a:avLst/>
                    </a:prstGeom>
                  </pic:spPr>
                </pic:pic>
              </a:graphicData>
            </a:graphic>
          </wp:anchor>
        </w:drawing>
      </w: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rPr>
          <w:rFonts w:hint="eastAsia" w:ascii="微软雅黑" w:hAnsi="微软雅黑" w:eastAsia="微软雅黑" w:cs="微软雅黑"/>
          <w:i w:val="0"/>
          <w:iCs w:val="0"/>
          <w:caps w:val="0"/>
          <w:spacing w:val="15"/>
          <w:sz w:val="22"/>
          <w:szCs w:val="22"/>
          <w:shd w:val="clear" w:fill="F7FFF7"/>
          <w:lang w:eastAsia="zh-CN"/>
        </w:rPr>
      </w:pPr>
    </w:p>
    <w:p>
      <w:pPr>
        <w:pStyle w:val="6"/>
        <w:jc w:val="center"/>
        <w:rPr>
          <w:rFonts w:hint="eastAsia" w:ascii="微软雅黑" w:hAnsi="微软雅黑" w:eastAsia="微软雅黑" w:cs="微软雅黑"/>
          <w:i w:val="0"/>
          <w:iCs w:val="0"/>
          <w:caps w:val="0"/>
          <w:spacing w:val="15"/>
          <w:sz w:val="22"/>
          <w:szCs w:val="22"/>
          <w:shd w:val="clear" w:fill="FFFFFF"/>
          <w:lang w:eastAsia="zh-CN"/>
        </w:rPr>
      </w:pPr>
      <w:bookmarkStart w:id="98" w:name="_Toc12701"/>
      <w:r>
        <w:t xml:space="preserve">图 </w:t>
      </w:r>
      <w:r>
        <w:fldChar w:fldCharType="begin"/>
      </w:r>
      <w:r>
        <w:instrText xml:space="preserve"> SEQ 图 \* ARABIC </w:instrText>
      </w:r>
      <w:r>
        <w:fldChar w:fldCharType="separate"/>
      </w:r>
      <w:r>
        <w:t>21</w:t>
      </w:r>
      <w:r>
        <w:fldChar w:fldCharType="end"/>
      </w:r>
      <w:bookmarkStart w:id="99" w:name="_Toc17639"/>
      <w:r>
        <w:rPr>
          <w:rFonts w:hint="eastAsia"/>
          <w:lang w:eastAsia="zh-CN"/>
        </w:rPr>
        <w:t xml:space="preserve">  太湖创意职业技术学院开展暑期社会实践“云支教”活动宣传图</w:t>
      </w:r>
      <w:bookmarkEnd w:id="98"/>
      <w:bookmarkEnd w:id="99"/>
    </w:p>
    <w:p>
      <w:pPr>
        <w:pStyle w:val="6"/>
        <w:spacing w:line="240" w:lineRule="auto"/>
        <w:rPr>
          <w:rFonts w:hint="eastAsia" w:ascii="楷体" w:hAnsi="楷体" w:eastAsia="楷体" w:cs="宋体"/>
          <w:b w:val="0"/>
          <w:bCs/>
          <w:kern w:val="2"/>
          <w:sz w:val="24"/>
          <w:szCs w:val="24"/>
          <w:lang w:val="en-US" w:eastAsia="zh-CN" w:bidi="ar-SA"/>
        </w:rPr>
      </w:pPr>
      <w:bookmarkStart w:id="100" w:name="_Toc8853"/>
      <w:r>
        <w:rPr>
          <w:rFonts w:hint="eastAsia" w:ascii="微软雅黑" w:hAnsi="微软雅黑" w:eastAsia="微软雅黑" w:cs="微软雅黑"/>
          <w:i w:val="0"/>
          <w:iCs w:val="0"/>
          <w:caps w:val="0"/>
          <w:spacing w:val="15"/>
          <w:sz w:val="22"/>
          <w:szCs w:val="22"/>
          <w:shd w:val="clear" w:fill="FFFFFF"/>
          <w:lang w:eastAsia="zh-CN"/>
        </w:rPr>
        <w:drawing>
          <wp:anchor distT="0" distB="0" distL="114300" distR="114300" simplePos="0" relativeHeight="251683840" behindDoc="0" locked="0" layoutInCell="1" allowOverlap="1">
            <wp:simplePos x="0" y="0"/>
            <wp:positionH relativeFrom="column">
              <wp:posOffset>336550</wp:posOffset>
            </wp:positionH>
            <wp:positionV relativeFrom="paragraph">
              <wp:posOffset>1245235</wp:posOffset>
            </wp:positionV>
            <wp:extent cx="4755515" cy="3549650"/>
            <wp:effectExtent l="0" t="0" r="6985" b="12700"/>
            <wp:wrapNone/>
            <wp:docPr id="6" name="图片 6" descr="9ebc9ce8af5f24c1967b6218a52bfd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9ebc9ce8af5f24c1967b6218a52bfdd1"/>
                    <pic:cNvPicPr>
                      <a:picLocks noChangeAspect="1"/>
                    </pic:cNvPicPr>
                  </pic:nvPicPr>
                  <pic:blipFill>
                    <a:blip r:embed="rId34"/>
                    <a:stretch>
                      <a:fillRect/>
                    </a:stretch>
                  </pic:blipFill>
                  <pic:spPr>
                    <a:xfrm>
                      <a:off x="0" y="0"/>
                      <a:ext cx="4755515" cy="3549650"/>
                    </a:xfrm>
                    <a:prstGeom prst="rect">
                      <a:avLst/>
                    </a:prstGeom>
                  </pic:spPr>
                </pic:pic>
              </a:graphicData>
            </a:graphic>
          </wp:anchor>
        </w:drawing>
      </w:r>
      <w:r>
        <w:t xml:space="preserve">案例 2- </w:t>
      </w:r>
      <w:r>
        <w:fldChar w:fldCharType="begin"/>
      </w:r>
      <w:r>
        <w:instrText xml:space="preserve"> SEQ 案例_2- \* ARABIC </w:instrText>
      </w:r>
      <w:r>
        <w:fldChar w:fldCharType="separate"/>
      </w:r>
      <w:r>
        <w:t>11</w:t>
      </w:r>
      <w:r>
        <w:fldChar w:fldCharType="end"/>
      </w:r>
      <w:r>
        <w:rPr>
          <w:rFonts w:hint="eastAsia"/>
          <w:lang w:eastAsia="zh-CN"/>
        </w:rPr>
        <w:t xml:space="preserve">  【</w:t>
      </w:r>
      <w:r>
        <w:rPr>
          <w:rFonts w:hint="eastAsia"/>
          <w:lang w:val="en-US" w:eastAsia="zh-CN"/>
        </w:rPr>
        <w:t>太湖创意职业技术学院</w:t>
      </w:r>
      <w:r>
        <w:rPr>
          <w:rFonts w:hint="eastAsia"/>
          <w:lang w:eastAsia="zh-CN"/>
        </w:rPr>
        <w:t>开展消防演练】</w:t>
      </w:r>
      <w:r>
        <w:rPr>
          <w:rFonts w:hint="eastAsia" w:ascii="楷体" w:hAnsi="楷体" w:eastAsia="楷体" w:cs="宋体"/>
          <w:b w:val="0"/>
          <w:bCs/>
          <w:kern w:val="2"/>
          <w:sz w:val="24"/>
          <w:szCs w:val="24"/>
          <w:lang w:val="en-US" w:eastAsia="zh-CN" w:bidi="ar-SA"/>
        </w:rPr>
        <w:t>为深入贯彻学习习近平总书记关于安全生产重要论述精神，进一步夯实消防安全主体责任，提升消防安全意识，增强师生火灾应对能力，持续推进校园安全建设，创造安全稳定的校园环境。学校举行消防疏散演练。学校以本次火灾消防演练为契机，提高师生的消防意识，真正掌握消防安全知识，增强自救互救能力，培养学生的自我防护能力以及在紧急状况下的应变逃生能力。</w:t>
      </w:r>
      <w:bookmarkEnd w:id="100"/>
    </w:p>
    <w:p>
      <w:pPr>
        <w:spacing w:line="240" w:lineRule="auto"/>
        <w:rPr>
          <w:rFonts w:hint="eastAsia" w:ascii="楷体" w:hAnsi="楷体" w:eastAsia="楷体" w:cs="宋体"/>
          <w:b w:val="0"/>
          <w:bCs/>
          <w:kern w:val="2"/>
          <w:sz w:val="24"/>
          <w:szCs w:val="24"/>
          <w:lang w:val="en-US" w:eastAsia="zh-CN" w:bidi="ar-SA"/>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spacing w:line="240" w:lineRule="auto"/>
        <w:rPr>
          <w:rFonts w:hint="eastAsia"/>
          <w:lang w:val="en-US" w:eastAsia="zh-CN"/>
        </w:rPr>
      </w:pPr>
    </w:p>
    <w:p>
      <w:pPr>
        <w:pStyle w:val="6"/>
        <w:jc w:val="center"/>
        <w:rPr>
          <w:rFonts w:hint="eastAsia" w:eastAsia="宋体"/>
          <w:lang w:eastAsia="zh-CN"/>
        </w:rPr>
      </w:pPr>
      <w:bookmarkStart w:id="101" w:name="_Toc29238"/>
      <w:r>
        <w:rPr>
          <w:rFonts w:hint="eastAsia" w:ascii="微软雅黑" w:hAnsi="微软雅黑" w:eastAsia="微软雅黑" w:cs="微软雅黑"/>
          <w:i w:val="0"/>
          <w:iCs w:val="0"/>
          <w:caps w:val="0"/>
          <w:spacing w:val="15"/>
          <w:sz w:val="22"/>
          <w:szCs w:val="22"/>
          <w:shd w:val="clear" w:fill="FFFFFF"/>
          <w:lang w:eastAsia="zh-CN"/>
        </w:rPr>
        <w:drawing>
          <wp:anchor distT="0" distB="0" distL="114300" distR="114300" simplePos="0" relativeHeight="251684864" behindDoc="0" locked="0" layoutInCell="1" allowOverlap="1">
            <wp:simplePos x="0" y="0"/>
            <wp:positionH relativeFrom="column">
              <wp:posOffset>347345</wp:posOffset>
            </wp:positionH>
            <wp:positionV relativeFrom="paragraph">
              <wp:posOffset>285750</wp:posOffset>
            </wp:positionV>
            <wp:extent cx="4728210" cy="3305175"/>
            <wp:effectExtent l="0" t="0" r="15240" b="9525"/>
            <wp:wrapNone/>
            <wp:docPr id="14" name="图片 14" descr="8327a097e2123c993841a5c56b0466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8327a097e2123c993841a5c56b04668f"/>
                    <pic:cNvPicPr>
                      <a:picLocks noChangeAspect="1"/>
                    </pic:cNvPicPr>
                  </pic:nvPicPr>
                  <pic:blipFill>
                    <a:blip r:embed="rId35"/>
                    <a:stretch>
                      <a:fillRect/>
                    </a:stretch>
                  </pic:blipFill>
                  <pic:spPr>
                    <a:xfrm>
                      <a:off x="0" y="0"/>
                      <a:ext cx="4728210" cy="3305175"/>
                    </a:xfrm>
                    <a:prstGeom prst="rect">
                      <a:avLst/>
                    </a:prstGeom>
                  </pic:spPr>
                </pic:pic>
              </a:graphicData>
            </a:graphic>
          </wp:anchor>
        </w:drawing>
      </w:r>
      <w:r>
        <w:t xml:space="preserve">图 </w:t>
      </w:r>
      <w:r>
        <w:fldChar w:fldCharType="begin"/>
      </w:r>
      <w:r>
        <w:instrText xml:space="preserve"> SEQ 图 \* ARABIC </w:instrText>
      </w:r>
      <w:r>
        <w:fldChar w:fldCharType="separate"/>
      </w:r>
      <w:r>
        <w:t>22</w:t>
      </w:r>
      <w:r>
        <w:fldChar w:fldCharType="end"/>
      </w:r>
      <w:bookmarkStart w:id="102" w:name="_Toc20503"/>
      <w:r>
        <w:rPr>
          <w:rFonts w:hint="eastAsia"/>
          <w:lang w:eastAsia="zh-CN"/>
        </w:rPr>
        <w:t xml:space="preserve">  太湖创意职业技术学院开展消防演练现场二</w:t>
      </w:r>
      <w:bookmarkEnd w:id="101"/>
      <w:bookmarkEnd w:id="102"/>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spacing w:before="0" w:after="0" w:line="240" w:lineRule="auto"/>
        <w:jc w:val="both"/>
      </w:pPr>
    </w:p>
    <w:p>
      <w:pPr>
        <w:pStyle w:val="6"/>
        <w:spacing w:before="0" w:after="0" w:line="240" w:lineRule="auto"/>
        <w:jc w:val="both"/>
      </w:pPr>
    </w:p>
    <w:p>
      <w:pPr>
        <w:pStyle w:val="6"/>
        <w:spacing w:before="0" w:after="0" w:line="240" w:lineRule="auto"/>
        <w:jc w:val="center"/>
        <w:rPr>
          <w:rFonts w:hint="eastAsia"/>
          <w:lang w:val="en-US" w:eastAsia="zh-CN"/>
        </w:rPr>
      </w:pPr>
      <w:bookmarkStart w:id="103" w:name="_Toc16675"/>
      <w:r>
        <w:t xml:space="preserve">图 </w:t>
      </w:r>
      <w:r>
        <w:fldChar w:fldCharType="begin"/>
      </w:r>
      <w:r>
        <w:instrText xml:space="preserve"> SEQ 图 \* ARABIC </w:instrText>
      </w:r>
      <w:r>
        <w:fldChar w:fldCharType="separate"/>
      </w:r>
      <w:r>
        <w:t>23</w:t>
      </w:r>
      <w:r>
        <w:fldChar w:fldCharType="end"/>
      </w:r>
      <w:bookmarkStart w:id="104" w:name="_Toc14285"/>
      <w:r>
        <w:rPr>
          <w:rFonts w:hint="eastAsia"/>
          <w:lang w:eastAsia="zh-CN"/>
        </w:rPr>
        <w:t xml:space="preserve">  太湖创意职业技术学院开展消防演练现场一</w:t>
      </w:r>
      <w:bookmarkEnd w:id="103"/>
      <w:bookmarkEnd w:id="104"/>
    </w:p>
    <w:p>
      <w:pPr>
        <w:pStyle w:val="6"/>
        <w:spacing w:line="240" w:lineRule="auto"/>
        <w:rPr>
          <w:rFonts w:hint="eastAsia" w:ascii="楷体" w:hAnsi="楷体" w:eastAsia="楷体" w:cs="宋体"/>
          <w:b w:val="0"/>
          <w:bCs/>
          <w:kern w:val="2"/>
          <w:sz w:val="24"/>
          <w:szCs w:val="24"/>
          <w:lang w:val="en-US" w:eastAsia="zh-CN" w:bidi="ar-SA"/>
        </w:rPr>
      </w:pPr>
      <w:bookmarkStart w:id="105" w:name="_Toc27291"/>
      <w:r>
        <w:t xml:space="preserve">案例 2- </w:t>
      </w:r>
      <w:r>
        <w:fldChar w:fldCharType="begin"/>
      </w:r>
      <w:r>
        <w:instrText xml:space="preserve"> SEQ 案例_2- \* ARABIC </w:instrText>
      </w:r>
      <w:r>
        <w:fldChar w:fldCharType="separate"/>
      </w:r>
      <w:r>
        <w:t>12</w:t>
      </w:r>
      <w:r>
        <w:fldChar w:fldCharType="end"/>
      </w:r>
      <w:r>
        <w:rPr>
          <w:rFonts w:hint="eastAsia"/>
          <w:lang w:eastAsia="zh-CN"/>
        </w:rPr>
        <w:t xml:space="preserve">  【太湖创意职业技术学院艺术学院组织“趣味运动会”】</w:t>
      </w:r>
      <w:r>
        <w:rPr>
          <w:rFonts w:hint="eastAsia" w:ascii="楷体" w:hAnsi="楷体" w:eastAsia="楷体" w:cs="宋体"/>
          <w:b w:val="0"/>
          <w:bCs/>
          <w:kern w:val="2"/>
          <w:sz w:val="24"/>
          <w:szCs w:val="24"/>
          <w:lang w:val="en-US" w:eastAsia="zh-CN" w:bidi="ar-SA"/>
        </w:rPr>
        <w:t>为丰富学生的校园生活，进一步提高学生素质，培养学生运动技能，激发学生勇于挑战自我，战胜自我的顽强意识。学校艺术设计学院团总支举行了“趣味运动会”，集中体现了艺术设计学院“阳光、健康、快乐”的风采，以及对学院的团队精神、集体荣誉感和顽强拼搏的精神风貌。</w:t>
      </w:r>
      <w:bookmarkEnd w:id="105"/>
    </w:p>
    <w:p>
      <w:pPr>
        <w:spacing w:line="240" w:lineRule="auto"/>
        <w:rPr>
          <w:rFonts w:hint="eastAsia" w:ascii="微软雅黑" w:hAnsi="微软雅黑" w:eastAsia="微软雅黑" w:cs="微软雅黑"/>
          <w:i w:val="0"/>
          <w:iCs w:val="0"/>
          <w:caps w:val="0"/>
          <w:color w:val="E47622"/>
          <w:spacing w:val="15"/>
          <w:sz w:val="22"/>
          <w:szCs w:val="22"/>
          <w:shd w:val="clear" w:fill="FFFDE7"/>
          <w:lang w:val="en-US" w:eastAsia="zh-CN"/>
        </w:rPr>
      </w:pPr>
      <w:r>
        <w:rPr>
          <w:rFonts w:hint="eastAsia" w:ascii="微软雅黑" w:hAnsi="微软雅黑" w:eastAsia="微软雅黑" w:cs="微软雅黑"/>
          <w:i w:val="0"/>
          <w:iCs w:val="0"/>
          <w:caps w:val="0"/>
          <w:color w:val="E47622"/>
          <w:spacing w:val="15"/>
          <w:sz w:val="22"/>
          <w:szCs w:val="22"/>
          <w:shd w:val="clear" w:fill="FFFDE7"/>
          <w:lang w:val="en-US" w:eastAsia="zh-CN"/>
        </w:rPr>
        <w:drawing>
          <wp:anchor distT="0" distB="0" distL="114300" distR="114300" simplePos="0" relativeHeight="251695104" behindDoc="0" locked="0" layoutInCell="1" allowOverlap="1">
            <wp:simplePos x="0" y="0"/>
            <wp:positionH relativeFrom="column">
              <wp:posOffset>123825</wp:posOffset>
            </wp:positionH>
            <wp:positionV relativeFrom="paragraph">
              <wp:posOffset>16510</wp:posOffset>
            </wp:positionV>
            <wp:extent cx="5066665" cy="2834005"/>
            <wp:effectExtent l="0" t="0" r="635" b="4445"/>
            <wp:wrapNone/>
            <wp:docPr id="43" name="图片 43" descr="d5ace4550f7bfec8a77b89d53148d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5ace4550f7bfec8a77b89d53148d207"/>
                    <pic:cNvPicPr>
                      <a:picLocks noChangeAspect="1"/>
                    </pic:cNvPicPr>
                  </pic:nvPicPr>
                  <pic:blipFill>
                    <a:blip r:embed="rId36"/>
                    <a:stretch>
                      <a:fillRect/>
                    </a:stretch>
                  </pic:blipFill>
                  <pic:spPr>
                    <a:xfrm>
                      <a:off x="0" y="0"/>
                      <a:ext cx="5066665" cy="2834005"/>
                    </a:xfrm>
                    <a:prstGeom prst="rect">
                      <a:avLst/>
                    </a:prstGeom>
                  </pic:spPr>
                </pic:pic>
              </a:graphicData>
            </a:graphic>
          </wp:anchor>
        </w:drawing>
      </w: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jc w:val="center"/>
        <w:rPr>
          <w:rFonts w:hint="eastAsia" w:ascii="微软雅黑" w:hAnsi="微软雅黑" w:eastAsia="宋体" w:cs="微软雅黑"/>
          <w:i w:val="0"/>
          <w:iCs w:val="0"/>
          <w:caps w:val="0"/>
          <w:color w:val="E47622"/>
          <w:spacing w:val="15"/>
          <w:sz w:val="22"/>
          <w:szCs w:val="22"/>
          <w:shd w:val="clear" w:fill="FFFDE7"/>
          <w:lang w:val="en-US" w:eastAsia="zh-CN"/>
        </w:rPr>
      </w:pPr>
      <w:bookmarkStart w:id="106" w:name="_Toc31845"/>
      <w:r>
        <w:t xml:space="preserve">图 </w:t>
      </w:r>
      <w:r>
        <w:fldChar w:fldCharType="begin"/>
      </w:r>
      <w:r>
        <w:instrText xml:space="preserve"> SEQ 图 \* ARABIC </w:instrText>
      </w:r>
      <w:r>
        <w:fldChar w:fldCharType="separate"/>
      </w:r>
      <w:r>
        <w:t>24</w:t>
      </w:r>
      <w:r>
        <w:fldChar w:fldCharType="end"/>
      </w:r>
      <w:bookmarkStart w:id="107" w:name="_Toc24795"/>
      <w:r>
        <w:rPr>
          <w:rFonts w:hint="eastAsia"/>
          <w:lang w:eastAsia="zh-CN"/>
        </w:rPr>
        <w:t xml:space="preserve">  太湖创意职业技术学院艺术学院组织“趣味运动会”现场一</w:t>
      </w:r>
      <w:bookmarkEnd w:id="106"/>
      <w:bookmarkEnd w:id="107"/>
    </w:p>
    <w:p>
      <w:pPr>
        <w:spacing w:line="240" w:lineRule="auto"/>
        <w:rPr>
          <w:rFonts w:hint="eastAsia" w:ascii="微软雅黑" w:hAnsi="微软雅黑" w:eastAsia="微软雅黑" w:cs="微软雅黑"/>
          <w:i w:val="0"/>
          <w:iCs w:val="0"/>
          <w:caps w:val="0"/>
          <w:color w:val="E47622"/>
          <w:spacing w:val="15"/>
          <w:sz w:val="22"/>
          <w:szCs w:val="22"/>
          <w:shd w:val="clear" w:fill="FFFDE7"/>
          <w:lang w:val="en-US" w:eastAsia="zh-CN"/>
        </w:rPr>
      </w:pPr>
      <w:r>
        <w:rPr>
          <w:rFonts w:hint="eastAsia" w:ascii="微软雅黑" w:hAnsi="微软雅黑" w:eastAsia="微软雅黑" w:cs="微软雅黑"/>
          <w:i w:val="0"/>
          <w:iCs w:val="0"/>
          <w:caps w:val="0"/>
          <w:color w:val="E47622"/>
          <w:spacing w:val="15"/>
          <w:sz w:val="22"/>
          <w:szCs w:val="22"/>
          <w:shd w:val="clear" w:fill="FFFDE7"/>
          <w:lang w:val="en-US" w:eastAsia="zh-CN"/>
        </w:rPr>
        <w:drawing>
          <wp:anchor distT="0" distB="0" distL="114300" distR="114300" simplePos="0" relativeHeight="251696128" behindDoc="0" locked="0" layoutInCell="1" allowOverlap="1">
            <wp:simplePos x="0" y="0"/>
            <wp:positionH relativeFrom="column">
              <wp:posOffset>113665</wp:posOffset>
            </wp:positionH>
            <wp:positionV relativeFrom="paragraph">
              <wp:posOffset>121920</wp:posOffset>
            </wp:positionV>
            <wp:extent cx="5049520" cy="3446145"/>
            <wp:effectExtent l="0" t="0" r="17780" b="1905"/>
            <wp:wrapNone/>
            <wp:docPr id="44" name="图片 44" descr="2f2264a4ff8edc5d48c27963f094ba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f2264a4ff8edc5d48c27963f094bab8"/>
                    <pic:cNvPicPr>
                      <a:picLocks noChangeAspect="1"/>
                    </pic:cNvPicPr>
                  </pic:nvPicPr>
                  <pic:blipFill>
                    <a:blip r:embed="rId37"/>
                    <a:stretch>
                      <a:fillRect/>
                    </a:stretch>
                  </pic:blipFill>
                  <pic:spPr>
                    <a:xfrm>
                      <a:off x="0" y="0"/>
                      <a:ext cx="5049520" cy="3446145"/>
                    </a:xfrm>
                    <a:prstGeom prst="rect">
                      <a:avLst/>
                    </a:prstGeom>
                  </pic:spPr>
                </pic:pic>
              </a:graphicData>
            </a:graphic>
          </wp:anchor>
        </w:drawing>
      </w: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before="0" w:after="0" w:line="240" w:lineRule="auto"/>
      </w:pPr>
    </w:p>
    <w:p>
      <w:pPr>
        <w:pStyle w:val="6"/>
        <w:spacing w:before="0" w:after="0" w:line="240" w:lineRule="auto"/>
        <w:jc w:val="center"/>
        <w:rPr>
          <w:rFonts w:hint="eastAsia" w:ascii="微软雅黑" w:hAnsi="微软雅黑" w:eastAsia="宋体" w:cs="微软雅黑"/>
          <w:i w:val="0"/>
          <w:iCs w:val="0"/>
          <w:caps w:val="0"/>
          <w:color w:val="E47622"/>
          <w:spacing w:val="15"/>
          <w:sz w:val="22"/>
          <w:szCs w:val="22"/>
          <w:shd w:val="clear" w:fill="FFFDE7"/>
          <w:lang w:val="en-US" w:eastAsia="zh-CN"/>
        </w:rPr>
      </w:pPr>
      <w:bookmarkStart w:id="108" w:name="_Toc27043"/>
      <w:r>
        <w:t xml:space="preserve">图 </w:t>
      </w:r>
      <w:r>
        <w:fldChar w:fldCharType="begin"/>
      </w:r>
      <w:r>
        <w:instrText xml:space="preserve"> SEQ 图 \* ARABIC </w:instrText>
      </w:r>
      <w:r>
        <w:fldChar w:fldCharType="separate"/>
      </w:r>
      <w:r>
        <w:t>25</w:t>
      </w:r>
      <w:r>
        <w:fldChar w:fldCharType="end"/>
      </w:r>
      <w:bookmarkStart w:id="109" w:name="_Toc8202"/>
      <w:r>
        <w:rPr>
          <w:rFonts w:hint="eastAsia"/>
          <w:lang w:eastAsia="zh-CN"/>
        </w:rPr>
        <w:t xml:space="preserve">  太湖创意职业技术学院艺术学院组织“趣味运动会”现场二</w:t>
      </w:r>
      <w:bookmarkEnd w:id="108"/>
      <w:bookmarkEnd w:id="109"/>
    </w:p>
    <w:p>
      <w:pPr>
        <w:spacing w:line="240" w:lineRule="auto"/>
        <w:rPr>
          <w:rFonts w:hint="eastAsia"/>
          <w:lang w:val="en-US" w:eastAsia="zh-CN"/>
        </w:rPr>
      </w:pPr>
    </w:p>
    <w:p>
      <w:pPr>
        <w:spacing w:line="240" w:lineRule="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bookmarkStart w:id="110" w:name="_Toc19864"/>
      <w:r>
        <w:rPr>
          <w:rFonts w:hint="eastAsia" w:ascii="宋体" w:hAnsi="宋体" w:cs="宋体"/>
          <w:sz w:val="28"/>
          <w:szCs w:val="28"/>
          <w:lang w:val="en-US" w:eastAsia="zh-CN"/>
        </w:rPr>
        <w:t>学校继续深化教育教学改革</w:t>
      </w:r>
      <w:bookmarkEnd w:id="110"/>
      <w:r>
        <w:rPr>
          <w:rFonts w:hint="eastAsia" w:ascii="宋体" w:hAnsi="宋体" w:cs="宋体"/>
          <w:sz w:val="28"/>
          <w:szCs w:val="28"/>
          <w:lang w:val="en-US" w:eastAsia="zh-CN"/>
        </w:rPr>
        <w:t>：</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转变教育观念，改革人才培养模式。树立多样化培养目标，使每个学生都能充分发扬个性和发展潜力，满足学生发展的多样化需求；以社会需要为导向，优化人才培养方案，实行通识教育基础上的专业教育，使学生既有扎实的基础，又在某一领域具有较为精深系统的知识，提高学生社会适应性和就业针对性；积极推进“特色人才培养计划”，培养造就一批高素质的专门人才和拔尖创新人才。</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深化教学改革，提高教育教学质量。加大教学改革研究的经费支持和奖励力度，鼓励教师开展教学内容、方法和手段改革，在特色化人才培养方面，重点资助一批教学改革研究项目，组织力量深入开展改革研究和实践，提升学院教育教学水平和人才培养质量；组织开展教师教学竞赛活动，激励教师开展课堂教学改革研究；对教学业绩特别突出的优秀教师，在职称、职务评聘方面予以政策倾斜。</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加强实践教学，提高学生实践能力。优化实践教学体系，整合实验教学内容，改革实践教学方法，将分散于各门课程中的实训逐步分离出来，整合成具有综合性和设计性的实训项目，把分散的时间集中起来，提高实践教学的实效性；充分发挥校内外实践教学基地的作用，使学生的实践与创新能力得到进一步提高。</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（4）组织开展各类技能竞赛活动。职业技能大赛是培养学生实践技能，提高学生职业素养的有效措施;是加强学生实践水平，适应市场需求的有力保障;是提升职业教育影响力，加快职业教育发展的重要举措。</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5）将教学内容改革与职业技能大赛考核内容紧密结合，在各专业人才培养方案、课程设计、教学计划中应有所体现，并计入相应的学分。通过吸取职业大赛考核内容和技能考核标准对原有教学内容进行改造，提炼、转化为以大赛考核内容为基础的项目，在教学中推行项目教学，强化实践能力教学。</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6）深化1+X证书制度。积极推动复合型技术技能人才培养培训模式改革，借鉴国际、国内职业教育培训普遍做法，制订工作方案和具体管理办法，深化1+X证书制度试点工作。试点工作在进一步发挥好学历证书作用，夯实学生可持续发展基础，鼓励学生在获得学历证书的同时，积极取得多类职业技能等级证书，拓展就业创业本领，练就职业活动和个人职业生涯发展所需要的综合能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7）着力探索人才系统培养，构建成才成长的“立交桥”。发挥民办高职校的体制特点，创新探索高素质技术技能型培养的机制和形式。以系统设计对口招生专业人才培养方案为抓手，注重中等和高等职业教育在培养目标、课程设置、教学内容等方面的延续与衔接，系统开发课程和教学资源。积极推进 “知识+技能”招生考试制度改革，探索多样化选拔机制，探索中职和高职教育衔接、高职和本科职业教育贯通的人才培养通道。</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11" w:name="_Toc2750"/>
      <w:r>
        <w:rPr>
          <w:rFonts w:hint="eastAsia" w:ascii="宋体" w:hAnsi="宋体" w:cs="宋体"/>
          <w:b/>
          <w:bCs/>
          <w:sz w:val="28"/>
          <w:szCs w:val="28"/>
          <w:lang w:val="en-US" w:eastAsia="zh-CN"/>
        </w:rPr>
        <w:t>2.4职业发展</w:t>
      </w:r>
      <w:bookmarkEnd w:id="111"/>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学校将就业与创业指导与职业生涯规划相结合，贯穿于学生在校全过程。从三个方面开展工作：一是把就业与创业指导设置课程列入教学计划之中，把此项工作规范化；二是举行专题报告会，请企业人力资源负责人和往届毕业生做现场报告教育学生；三是进行模拟招聘会，现场进行应聘指导。</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rPr>
        <w:t>我院除积极参加江苏省高校毕业生百校联动就业活动外，还组织校内招聘会，搭建用人单位与毕业生互动平台。学院与省内各市人才服务中心紧密联系，掌握各市人才需求信息，鼓励生源所在地毕业生积极参加当地人才交流会、洽谈会，使之有更多的择业机会。学校为每一届毕业生都组织了各种形式的招聘会。今年举办的大型人才招聘会，有来自上海、浙江、山东及省内多市的上百家单位参加招聘会，提供近2000多个工作岗位。每年还要举办十多次小型招聘会活动，由我院各系与就业办联合举办。学校重视加强就业基地的建设，现有就业基地</w:t>
      </w:r>
      <w:r>
        <w:rPr>
          <w:rFonts w:hint="eastAsia" w:ascii="宋体" w:hAnsi="宋体" w:cs="宋体"/>
          <w:sz w:val="28"/>
          <w:szCs w:val="28"/>
          <w:lang w:val="en-US" w:eastAsia="zh-CN"/>
        </w:rPr>
        <w:t>99</w:t>
      </w:r>
      <w:r>
        <w:rPr>
          <w:rFonts w:hint="eastAsia" w:ascii="宋体" w:hAnsi="宋体" w:cs="宋体"/>
          <w:sz w:val="28"/>
          <w:szCs w:val="28"/>
        </w:rPr>
        <w:t>家。此外，建立“太湖创意职业技术学院就业网”每年通过信息发布提供用人单位岗位需求近2000人，是每年毕业生总数的3～4倍以上。学校积极进行创业教育，组织创业模拟活动，校内进行创业示范。我院这几年大学创业人数逐步上升， 2017年为1.53%，2018年为1.62%，2019年为1.83%</w:t>
      </w:r>
      <w:r>
        <w:rPr>
          <w:rFonts w:hint="eastAsia" w:ascii="宋体" w:hAnsi="宋体" w:cs="宋体"/>
          <w:sz w:val="28"/>
          <w:szCs w:val="28"/>
          <w:lang w:eastAsia="zh-CN"/>
        </w:rPr>
        <w:t>，</w:t>
      </w:r>
      <w:r>
        <w:rPr>
          <w:rFonts w:hint="eastAsia" w:ascii="宋体" w:hAnsi="宋体" w:cs="宋体"/>
          <w:sz w:val="28"/>
          <w:szCs w:val="28"/>
          <w:lang w:val="en-US" w:eastAsia="zh-CN"/>
        </w:rPr>
        <w:t>2020年为2.30%，2021年为1.60%，2022年为1.60%，2023年为1.55%。</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（1）毕业生就业基本情况</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20</w:t>
      </w:r>
      <w:r>
        <w:rPr>
          <w:rFonts w:hint="eastAsia" w:ascii="宋体" w:hAnsi="宋体" w:cs="宋体"/>
          <w:sz w:val="28"/>
          <w:szCs w:val="28"/>
          <w:lang w:val="en-US" w:eastAsia="zh-CN"/>
        </w:rPr>
        <w:t>22</w:t>
      </w:r>
      <w:r>
        <w:rPr>
          <w:rFonts w:hint="eastAsia" w:ascii="宋体" w:hAnsi="宋体" w:cs="宋体"/>
          <w:sz w:val="28"/>
          <w:szCs w:val="28"/>
        </w:rPr>
        <w:t>届毕业生</w:t>
      </w:r>
      <w:r>
        <w:rPr>
          <w:rFonts w:hint="eastAsia" w:ascii="宋体" w:hAnsi="宋体" w:cs="宋体"/>
          <w:sz w:val="28"/>
          <w:szCs w:val="28"/>
          <w:lang w:val="en-US" w:eastAsia="zh-CN"/>
        </w:rPr>
        <w:t>335</w:t>
      </w:r>
      <w:r>
        <w:rPr>
          <w:rFonts w:hint="eastAsia" w:ascii="宋体" w:hAnsi="宋体" w:cs="宋体"/>
          <w:sz w:val="28"/>
          <w:szCs w:val="28"/>
        </w:rPr>
        <w:t>人，首次就业率高达</w:t>
      </w:r>
      <w:r>
        <w:rPr>
          <w:rFonts w:hint="eastAsia" w:ascii="宋体" w:hAnsi="宋体" w:cs="宋体"/>
          <w:sz w:val="28"/>
          <w:szCs w:val="28"/>
          <w:lang w:val="en-US" w:eastAsia="zh-CN"/>
        </w:rPr>
        <w:t>95.22</w:t>
      </w:r>
      <w:r>
        <w:rPr>
          <w:rFonts w:hint="eastAsia" w:ascii="宋体" w:hAnsi="宋体" w:cs="宋体"/>
          <w:sz w:val="28"/>
          <w:szCs w:val="28"/>
        </w:rPr>
        <w:t>%。毕业生就业区域以无锡为主，辐射苏南地区，少部分学生回原籍就业。有</w:t>
      </w:r>
      <w:r>
        <w:rPr>
          <w:rFonts w:hint="eastAsia" w:ascii="宋体" w:hAnsi="宋体" w:cs="宋体"/>
          <w:sz w:val="28"/>
          <w:szCs w:val="28"/>
          <w:lang w:val="en-US" w:eastAsia="zh-CN"/>
        </w:rPr>
        <w:t>84.95</w:t>
      </w:r>
      <w:r>
        <w:rPr>
          <w:rFonts w:hint="eastAsia" w:ascii="宋体" w:hAnsi="宋体" w:cs="宋体"/>
          <w:sz w:val="28"/>
          <w:szCs w:val="28"/>
        </w:rPr>
        <w:t>%的毕业生在苏南就业，其中超过三分之一以上的毕业生在无锡就业。20</w:t>
      </w:r>
      <w:r>
        <w:rPr>
          <w:rFonts w:hint="eastAsia" w:ascii="宋体" w:hAnsi="宋体" w:cs="宋体"/>
          <w:sz w:val="28"/>
          <w:szCs w:val="28"/>
          <w:lang w:val="en-US" w:eastAsia="zh-CN"/>
        </w:rPr>
        <w:t>23</w:t>
      </w:r>
      <w:r>
        <w:rPr>
          <w:rFonts w:hint="eastAsia" w:ascii="宋体" w:hAnsi="宋体" w:cs="宋体"/>
          <w:sz w:val="28"/>
          <w:szCs w:val="28"/>
        </w:rPr>
        <w:t>届毕业生</w:t>
      </w:r>
      <w:r>
        <w:rPr>
          <w:rFonts w:hint="eastAsia" w:ascii="宋体" w:hAnsi="宋体" w:cs="宋体"/>
          <w:sz w:val="28"/>
          <w:szCs w:val="28"/>
          <w:lang w:val="en-US" w:eastAsia="zh-CN"/>
        </w:rPr>
        <w:t>515</w:t>
      </w:r>
      <w:r>
        <w:rPr>
          <w:rFonts w:hint="eastAsia" w:ascii="宋体" w:hAnsi="宋体" w:cs="宋体"/>
          <w:sz w:val="28"/>
          <w:szCs w:val="28"/>
        </w:rPr>
        <w:t>人，首次就业率达到</w:t>
      </w:r>
      <w:r>
        <w:rPr>
          <w:rFonts w:hint="eastAsia" w:ascii="宋体" w:hAnsi="宋体" w:cs="宋体"/>
          <w:sz w:val="28"/>
          <w:szCs w:val="28"/>
          <w:lang w:val="en-US" w:eastAsia="zh-CN"/>
        </w:rPr>
        <w:t>86.54</w:t>
      </w:r>
      <w:r>
        <w:rPr>
          <w:rFonts w:hint="eastAsia" w:ascii="宋体" w:hAnsi="宋体" w:cs="宋体"/>
          <w:sz w:val="28"/>
          <w:szCs w:val="28"/>
        </w:rPr>
        <w:t>%。毕业生就业区域与20</w:t>
      </w:r>
      <w:r>
        <w:rPr>
          <w:rFonts w:hint="eastAsia" w:ascii="宋体" w:hAnsi="宋体" w:cs="宋体"/>
          <w:sz w:val="28"/>
          <w:szCs w:val="28"/>
          <w:lang w:val="en-US" w:eastAsia="zh-CN"/>
        </w:rPr>
        <w:t>22</w:t>
      </w:r>
      <w:r>
        <w:rPr>
          <w:rFonts w:hint="eastAsia" w:ascii="宋体" w:hAnsi="宋体" w:cs="宋体"/>
          <w:sz w:val="28"/>
          <w:szCs w:val="28"/>
        </w:rPr>
        <w:t>年基本相同。</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（2）毕业生就业满意度</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我们分别对毕业生和用人单位进行了就业满意度调查，其中</w:t>
      </w:r>
      <w:r>
        <w:rPr>
          <w:rFonts w:hint="eastAsia" w:ascii="宋体" w:hAnsi="宋体" w:cs="宋体"/>
          <w:sz w:val="28"/>
          <w:szCs w:val="28"/>
          <w:lang w:val="en-US" w:eastAsia="zh-CN"/>
        </w:rPr>
        <w:t>2021年</w:t>
      </w:r>
      <w:r>
        <w:rPr>
          <w:rFonts w:hint="eastAsia" w:ascii="宋体" w:hAnsi="宋体" w:cs="宋体"/>
          <w:sz w:val="28"/>
          <w:szCs w:val="28"/>
        </w:rPr>
        <w:t>毕业生对学院就业工作满意度为</w:t>
      </w:r>
      <w:r>
        <w:rPr>
          <w:rFonts w:hint="eastAsia" w:ascii="宋体" w:hAnsi="宋体" w:cs="宋体"/>
          <w:sz w:val="28"/>
          <w:szCs w:val="28"/>
          <w:lang w:val="en-US" w:eastAsia="zh-CN"/>
        </w:rPr>
        <w:t>98.36%；2022年</w:t>
      </w:r>
      <w:r>
        <w:rPr>
          <w:rFonts w:hint="eastAsia" w:ascii="宋体" w:hAnsi="宋体" w:cs="宋体"/>
          <w:sz w:val="28"/>
          <w:szCs w:val="28"/>
        </w:rPr>
        <w:t>毕业生对学院就业工作满意度为</w:t>
      </w:r>
      <w:r>
        <w:rPr>
          <w:rFonts w:hint="eastAsia" w:ascii="宋体" w:hAnsi="宋体" w:cs="宋体"/>
          <w:sz w:val="28"/>
          <w:szCs w:val="28"/>
          <w:lang w:val="en-US" w:eastAsia="zh-CN"/>
        </w:rPr>
        <w:t>98.33%；2023年</w:t>
      </w:r>
      <w:r>
        <w:rPr>
          <w:rFonts w:hint="eastAsia" w:ascii="宋体" w:hAnsi="宋体" w:cs="宋体"/>
          <w:sz w:val="28"/>
          <w:szCs w:val="28"/>
        </w:rPr>
        <w:t>毕业生对学院就业工作满意度为</w:t>
      </w:r>
      <w:r>
        <w:rPr>
          <w:rFonts w:hint="eastAsia" w:ascii="宋体" w:hAnsi="宋体" w:cs="宋体"/>
          <w:sz w:val="28"/>
          <w:szCs w:val="28"/>
          <w:lang w:val="en-US" w:eastAsia="zh-CN"/>
        </w:rPr>
        <w:t>98.54%；</w:t>
      </w:r>
      <w:r>
        <w:rPr>
          <w:rFonts w:hint="eastAsia" w:ascii="宋体" w:hAnsi="宋体" w:cs="宋体"/>
          <w:sz w:val="28"/>
          <w:szCs w:val="28"/>
        </w:rPr>
        <w:t>。</w:t>
      </w:r>
      <w:r>
        <w:rPr>
          <w:rFonts w:hint="eastAsia" w:ascii="宋体" w:hAnsi="宋体" w:cs="宋体"/>
          <w:sz w:val="28"/>
          <w:szCs w:val="28"/>
          <w:lang w:val="en-US" w:eastAsia="zh-CN"/>
        </w:rPr>
        <w:t>2021年、2022年</w:t>
      </w:r>
      <w:r>
        <w:rPr>
          <w:rFonts w:hint="eastAsia" w:ascii="宋体" w:hAnsi="宋体" w:cs="宋体"/>
          <w:sz w:val="28"/>
          <w:szCs w:val="28"/>
        </w:rPr>
        <w:t>和20</w:t>
      </w:r>
      <w:r>
        <w:rPr>
          <w:rFonts w:hint="eastAsia" w:ascii="宋体" w:hAnsi="宋体" w:cs="宋体"/>
          <w:sz w:val="28"/>
          <w:szCs w:val="28"/>
          <w:lang w:val="en-US" w:eastAsia="zh-CN"/>
        </w:rPr>
        <w:t>23</w:t>
      </w:r>
      <w:r>
        <w:rPr>
          <w:rFonts w:hint="eastAsia" w:ascii="宋体" w:hAnsi="宋体" w:cs="宋体"/>
          <w:sz w:val="28"/>
          <w:szCs w:val="28"/>
        </w:rPr>
        <w:t>年用人单位对学院就业工作的满意度均在97%以上。</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（3）用人单位类型分布</w:t>
      </w:r>
    </w:p>
    <w:p>
      <w:pPr>
        <w:spacing w:before="0" w:after="0" w:line="240" w:lineRule="auto"/>
        <w:ind w:firstLine="560" w:firstLineChars="200"/>
        <w:rPr>
          <w:rFonts w:hint="eastAsia" w:ascii="宋体" w:hAnsi="宋体" w:eastAsia="宋体" w:cs="宋体"/>
          <w:sz w:val="28"/>
          <w:szCs w:val="28"/>
          <w:lang w:eastAsia="zh-CN"/>
        </w:rPr>
      </w:pPr>
      <w:r>
        <w:rPr>
          <w:rFonts w:hint="eastAsia" w:ascii="宋体" w:hAnsi="宋体" w:eastAsia="宋体" w:cs="宋体"/>
          <w:sz w:val="28"/>
          <w:szCs w:val="28"/>
          <w:lang w:eastAsia="zh-CN"/>
        </w:rPr>
        <w:drawing>
          <wp:anchor distT="0" distB="0" distL="114300" distR="114300" simplePos="0" relativeHeight="251660288" behindDoc="0" locked="0" layoutInCell="1" allowOverlap="1">
            <wp:simplePos x="0" y="0"/>
            <wp:positionH relativeFrom="column">
              <wp:posOffset>179705</wp:posOffset>
            </wp:positionH>
            <wp:positionV relativeFrom="paragraph">
              <wp:posOffset>123825</wp:posOffset>
            </wp:positionV>
            <wp:extent cx="5042535" cy="2288540"/>
            <wp:effectExtent l="5080" t="4445" r="19685" b="12065"/>
            <wp:wrapNone/>
            <wp:docPr id="7"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pPr>
        <w:spacing w:before="0" w:after="0" w:line="240" w:lineRule="auto"/>
        <w:ind w:firstLine="560" w:firstLineChars="200"/>
        <w:rPr>
          <w:rFonts w:hint="eastAsia" w:ascii="宋体" w:hAnsi="宋体" w:eastAsia="宋体" w:cs="宋体"/>
          <w:sz w:val="28"/>
          <w:szCs w:val="28"/>
          <w:lang w:eastAsia="zh-CN"/>
        </w:rPr>
      </w:pPr>
    </w:p>
    <w:p>
      <w:pPr>
        <w:spacing w:before="0" w:after="0" w:line="240" w:lineRule="auto"/>
        <w:ind w:firstLine="560" w:firstLineChars="200"/>
        <w:rPr>
          <w:rFonts w:hint="eastAsia" w:ascii="宋体" w:hAnsi="宋体" w:eastAsia="宋体" w:cs="宋体"/>
          <w:sz w:val="28"/>
          <w:szCs w:val="28"/>
          <w:lang w:eastAsia="zh-CN"/>
        </w:rPr>
      </w:pPr>
    </w:p>
    <w:p>
      <w:pPr>
        <w:spacing w:before="0" w:after="0" w:line="240" w:lineRule="auto"/>
        <w:ind w:firstLine="560" w:firstLineChars="200"/>
        <w:rPr>
          <w:rFonts w:hint="eastAsia" w:ascii="宋体" w:hAnsi="宋体" w:eastAsia="宋体" w:cs="宋体"/>
          <w:sz w:val="28"/>
          <w:szCs w:val="28"/>
          <w:lang w:eastAsia="zh-CN"/>
        </w:rPr>
      </w:pPr>
    </w:p>
    <w:p>
      <w:pPr>
        <w:spacing w:before="0" w:after="0" w:line="240" w:lineRule="auto"/>
        <w:ind w:firstLine="560" w:firstLineChars="200"/>
        <w:rPr>
          <w:rFonts w:hint="eastAsia" w:ascii="宋体" w:hAnsi="宋体" w:eastAsia="宋体" w:cs="宋体"/>
          <w:sz w:val="28"/>
          <w:szCs w:val="28"/>
          <w:lang w:eastAsia="zh-CN"/>
        </w:rPr>
      </w:pPr>
    </w:p>
    <w:p>
      <w:pPr>
        <w:spacing w:before="0" w:after="0" w:line="240" w:lineRule="auto"/>
        <w:rPr>
          <w:rFonts w:hint="eastAsia" w:ascii="宋体" w:hAnsi="宋体" w:eastAsia="宋体" w:cs="宋体"/>
          <w:sz w:val="28"/>
          <w:szCs w:val="28"/>
          <w:lang w:eastAsia="zh-CN"/>
        </w:rPr>
      </w:pPr>
    </w:p>
    <w:p>
      <w:pPr>
        <w:pStyle w:val="6"/>
        <w:spacing w:before="0" w:after="0" w:line="240" w:lineRule="auto"/>
        <w:ind w:firstLine="600" w:firstLineChars="300"/>
      </w:pPr>
    </w:p>
    <w:p>
      <w:pPr>
        <w:pStyle w:val="6"/>
        <w:spacing w:before="0" w:after="0" w:line="240" w:lineRule="auto"/>
        <w:ind w:firstLine="600" w:firstLineChars="300"/>
        <w:jc w:val="center"/>
        <w:rPr>
          <w:rFonts w:hint="eastAsia" w:ascii="宋体" w:hAnsi="宋体" w:eastAsia="宋体" w:cs="宋体"/>
          <w:sz w:val="28"/>
          <w:szCs w:val="28"/>
          <w:lang w:eastAsia="zh-CN"/>
        </w:rPr>
      </w:pPr>
      <w:bookmarkStart w:id="112" w:name="_Toc31920"/>
      <w:r>
        <w:t xml:space="preserve">图 </w:t>
      </w:r>
      <w:r>
        <w:fldChar w:fldCharType="begin"/>
      </w:r>
      <w:r>
        <w:instrText xml:space="preserve"> SEQ 图 \* ARABIC </w:instrText>
      </w:r>
      <w:r>
        <w:fldChar w:fldCharType="separate"/>
      </w:r>
      <w:r>
        <w:t>26</w:t>
      </w:r>
      <w:r>
        <w:fldChar w:fldCharType="end"/>
      </w:r>
      <w:bookmarkStart w:id="113" w:name="_Toc9298"/>
      <w:r>
        <w:rPr>
          <w:rFonts w:hint="eastAsia"/>
          <w:lang w:eastAsia="zh-CN"/>
        </w:rPr>
        <w:t xml:space="preserve">  近三年毕业生用人单位类型分布</w:t>
      </w:r>
      <w:bookmarkEnd w:id="112"/>
      <w:bookmarkEnd w:id="113"/>
    </w:p>
    <w:p>
      <w:pPr>
        <w:pStyle w:val="6"/>
        <w:spacing w:before="0" w:after="0" w:line="240" w:lineRule="auto"/>
        <w:jc w:val="both"/>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我院毕业生主要就业的用人单位类型是中小微民营企业。</w:t>
      </w:r>
    </w:p>
    <w:p>
      <w:pPr>
        <w:keepNext w:val="0"/>
        <w:keepLines w:val="0"/>
        <w:pageBreakBefore w:val="0"/>
        <w:widowControl w:val="0"/>
        <w:numPr>
          <w:ilvl w:val="0"/>
          <w:numId w:val="2"/>
        </w:numPr>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rPr>
      </w:pPr>
      <w:r>
        <w:rPr>
          <w:rFonts w:hint="eastAsia" w:ascii="宋体" w:hAnsi="宋体" w:cs="宋体"/>
          <w:sz w:val="28"/>
          <w:szCs w:val="28"/>
        </w:rPr>
        <w:t>各专业大类毕业半年后月收入情况</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jc w:val="both"/>
        <w:textAlignment w:val="auto"/>
        <w:rPr>
          <w:rFonts w:hint="eastAsia" w:ascii="黑体" w:hAnsi="黑体" w:eastAsia="黑体" w:cs="黑体"/>
          <w:sz w:val="20"/>
          <w:szCs w:val="20"/>
          <w:lang w:eastAsia="zh-CN"/>
        </w:rPr>
      </w:pPr>
      <w:r>
        <w:rPr>
          <w:rFonts w:hint="eastAsia" w:ascii="黑体" w:hAnsi="黑体" w:eastAsia="黑体" w:cs="黑体"/>
          <w:sz w:val="20"/>
          <w:szCs w:val="20"/>
          <w:lang w:eastAsia="zh-CN"/>
        </w:rPr>
        <w:drawing>
          <wp:anchor distT="0" distB="0" distL="114300" distR="114300" simplePos="0" relativeHeight="251661312" behindDoc="0" locked="0" layoutInCell="1" allowOverlap="1">
            <wp:simplePos x="0" y="0"/>
            <wp:positionH relativeFrom="column">
              <wp:posOffset>258445</wp:posOffset>
            </wp:positionH>
            <wp:positionV relativeFrom="paragraph">
              <wp:posOffset>173990</wp:posOffset>
            </wp:positionV>
            <wp:extent cx="5088890" cy="2543810"/>
            <wp:effectExtent l="4445" t="4445" r="12065" b="23495"/>
            <wp:wrapNone/>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jc w:val="both"/>
        <w:textAlignment w:val="auto"/>
      </w:pPr>
    </w:p>
    <w:p>
      <w:pPr>
        <w:pStyle w:val="6"/>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jc w:val="both"/>
        <w:textAlignment w:val="auto"/>
      </w:pPr>
    </w:p>
    <w:p>
      <w:pPr>
        <w:pStyle w:val="6"/>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jc w:val="both"/>
        <w:textAlignment w:val="auto"/>
      </w:pPr>
    </w:p>
    <w:p>
      <w:pPr>
        <w:pStyle w:val="6"/>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jc w:val="both"/>
        <w:textAlignment w:val="auto"/>
      </w:pPr>
    </w:p>
    <w:p>
      <w:pPr>
        <w:pStyle w:val="6"/>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jc w:val="both"/>
        <w:textAlignment w:val="auto"/>
      </w:pPr>
    </w:p>
    <w:p>
      <w:pPr>
        <w:pStyle w:val="6"/>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jc w:val="both"/>
        <w:textAlignment w:val="auto"/>
      </w:pPr>
    </w:p>
    <w:p>
      <w:pPr>
        <w:pStyle w:val="6"/>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jc w:val="both"/>
        <w:textAlignment w:val="auto"/>
      </w:pPr>
    </w:p>
    <w:p>
      <w:pPr>
        <w:pStyle w:val="6"/>
        <w:keepNext w:val="0"/>
        <w:keepLines w:val="0"/>
        <w:pageBreakBefore w:val="0"/>
        <w:widowControl w:val="0"/>
        <w:numPr>
          <w:ilvl w:val="0"/>
          <w:numId w:val="0"/>
        </w:numPr>
        <w:kinsoku/>
        <w:wordWrap/>
        <w:overflowPunct/>
        <w:topLinePunct w:val="0"/>
        <w:autoSpaceDE/>
        <w:autoSpaceDN/>
        <w:bidi w:val="0"/>
        <w:adjustRightInd/>
        <w:snapToGrid/>
        <w:spacing w:before="0" w:after="0" w:line="520" w:lineRule="exact"/>
        <w:jc w:val="center"/>
        <w:textAlignment w:val="auto"/>
        <w:rPr>
          <w:rFonts w:hint="eastAsia" w:ascii="宋体" w:hAnsi="宋体" w:cs="宋体"/>
          <w:sz w:val="28"/>
          <w:szCs w:val="28"/>
          <w:lang w:eastAsia="zh-CN"/>
        </w:rPr>
      </w:pPr>
      <w:bookmarkStart w:id="114" w:name="_Toc11171"/>
      <w:r>
        <w:t xml:space="preserve">图 </w:t>
      </w:r>
      <w:r>
        <w:fldChar w:fldCharType="begin"/>
      </w:r>
      <w:r>
        <w:instrText xml:space="preserve"> SEQ 图 \* ARABIC </w:instrText>
      </w:r>
      <w:r>
        <w:fldChar w:fldCharType="separate"/>
      </w:r>
      <w:r>
        <w:t>27</w:t>
      </w:r>
      <w:r>
        <w:fldChar w:fldCharType="end"/>
      </w:r>
      <w:bookmarkStart w:id="115" w:name="_Toc2050"/>
      <w:r>
        <w:rPr>
          <w:rFonts w:hint="eastAsia"/>
          <w:lang w:eastAsia="zh-CN"/>
        </w:rPr>
        <w:t xml:space="preserve">  近三年各专业大类月收入</w:t>
      </w:r>
      <w:bookmarkEnd w:id="114"/>
      <w:bookmarkEnd w:id="115"/>
    </w:p>
    <w:p>
      <w:pPr>
        <w:pStyle w:val="6"/>
        <w:jc w:val="center"/>
        <w:rPr>
          <w:rFonts w:hint="eastAsia" w:eastAsia="宋体"/>
          <w:lang w:eastAsia="zh-CN"/>
        </w:rPr>
      </w:pPr>
      <w:bookmarkStart w:id="116" w:name="_Toc17076"/>
      <w:r>
        <w:t xml:space="preserve">表 </w:t>
      </w:r>
      <w:r>
        <w:fldChar w:fldCharType="begin"/>
      </w:r>
      <w:r>
        <w:instrText xml:space="preserve"> SEQ 表 \* ARABIC </w:instrText>
      </w:r>
      <w:r>
        <w:fldChar w:fldCharType="separate"/>
      </w:r>
      <w:r>
        <w:t>10</w:t>
      </w:r>
      <w:r>
        <w:fldChar w:fldCharType="end"/>
      </w:r>
      <w:bookmarkStart w:id="117" w:name="_Toc28775"/>
      <w:bookmarkStart w:id="118" w:name="_Toc20326"/>
      <w:r>
        <w:rPr>
          <w:rFonts w:hint="eastAsia"/>
          <w:lang w:eastAsia="zh-CN"/>
        </w:rPr>
        <w:t xml:space="preserve">  计分卡</w:t>
      </w:r>
      <w:bookmarkEnd w:id="116"/>
      <w:bookmarkEnd w:id="117"/>
      <w:bookmarkEnd w:id="118"/>
    </w:p>
    <w:tbl>
      <w:tblPr>
        <w:tblStyle w:val="13"/>
        <w:tblpPr w:leftFromText="180" w:rightFromText="180" w:vertAnchor="text" w:horzAnchor="page" w:tblpX="1772" w:tblpY="79"/>
        <w:tblOverlap w:val="never"/>
        <w:tblW w:w="906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13"/>
        <w:gridCol w:w="3750"/>
        <w:gridCol w:w="990"/>
        <w:gridCol w:w="1160"/>
        <w:gridCol w:w="1170"/>
        <w:gridCol w:w="11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9063" w:type="dxa"/>
            <w:gridSpan w:val="6"/>
            <w:tcBorders>
              <w:top w:val="nil"/>
              <w:left w:val="nil"/>
              <w:bottom w:val="nil"/>
              <w:right w:val="nil"/>
            </w:tcBorders>
            <w:shd w:val="clear" w:color="auto" w:fill="auto"/>
            <w:noWrap/>
            <w:vAlign w:val="center"/>
          </w:tcPr>
          <w:p>
            <w:pPr>
              <w:keepNext w:val="0"/>
              <w:keepLines w:val="0"/>
              <w:widowControl/>
              <w:suppressLineNumbers w:val="0"/>
              <w:spacing w:line="240" w:lineRule="auto"/>
              <w:jc w:val="left"/>
              <w:textAlignment w:val="center"/>
              <w:rPr>
                <w:rFonts w:ascii="仿宋_GB2312" w:hAnsi="等线" w:eastAsia="仿宋_GB2312" w:cs="仿宋_GB2312"/>
                <w:b/>
                <w:bCs/>
                <w:i w:val="0"/>
                <w:iCs w:val="0"/>
                <w:color w:val="000000"/>
                <w:sz w:val="28"/>
                <w:szCs w:val="28"/>
                <w:u w:val="none"/>
              </w:rPr>
            </w:pPr>
            <w:r>
              <w:rPr>
                <w:rFonts w:hint="eastAsia" w:ascii="宋体" w:hAnsi="宋体" w:eastAsia="宋体" w:cs="宋体"/>
                <w:b/>
                <w:bCs/>
                <w:i w:val="0"/>
                <w:iCs w:val="0"/>
                <w:color w:val="000000"/>
                <w:kern w:val="0"/>
                <w:sz w:val="24"/>
                <w:szCs w:val="24"/>
                <w:u w:val="none"/>
                <w:lang w:val="en-US" w:eastAsia="zh-CN" w:bidi="ar"/>
              </w:rPr>
              <w:t>名称：太湖创意职业技术学院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2022年</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2023年</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毕业生人数</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333</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515</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毕业去向落实人数</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315</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467</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其中：毕业生升学人数</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42</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毕业生本省去向落实率</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62.22</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71.52</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月收入</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 xml:space="preserve">4500.00 </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4500.00</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毕业生面向三次产业就业人数</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291</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425</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其中：面向第一产业</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Chars="30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面向第二产业</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0</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ind w:firstLineChars="30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面向第三产业</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291</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425</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自主创业率</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1.60 </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1.55</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3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毕业三年晋升比例</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11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16.78</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16.82</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bl>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bookmarkStart w:id="119" w:name="_Toc5372"/>
      <w:r>
        <w:rPr>
          <w:rFonts w:hint="eastAsia" w:ascii="宋体" w:hAnsi="宋体" w:cs="宋体"/>
          <w:b/>
          <w:bCs/>
          <w:sz w:val="28"/>
          <w:szCs w:val="28"/>
          <w:lang w:val="en-US" w:eastAsia="zh-CN"/>
        </w:rPr>
        <w:t>3.服务贡献</w:t>
      </w:r>
      <w:bookmarkEnd w:id="119"/>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20" w:name="_Toc2173"/>
      <w:r>
        <w:rPr>
          <w:rFonts w:hint="eastAsia" w:ascii="宋体" w:hAnsi="宋体" w:cs="宋体"/>
          <w:b/>
          <w:bCs/>
          <w:sz w:val="28"/>
          <w:szCs w:val="28"/>
          <w:lang w:val="en-US" w:eastAsia="zh-CN"/>
        </w:rPr>
        <w:t>3.1服务产业</w:t>
      </w:r>
      <w:bookmarkEnd w:id="120"/>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院每个专业都建立了2个以上的校外实习基地，重点专业建立了3个以上紧密型校企合作实习基地。近两年，学院新增校外实习实训基地20余个，校外实习实训基地总数达到60个，形成了覆盖全院各专业的校外实习基地网络。</w:t>
      </w:r>
    </w:p>
    <w:p>
      <w:pPr>
        <w:pStyle w:val="6"/>
        <w:jc w:val="center"/>
        <w:rPr>
          <w:rFonts w:hint="eastAsia" w:eastAsia="宋体"/>
          <w:lang w:eastAsia="zh-CN"/>
        </w:rPr>
      </w:pPr>
      <w:bookmarkStart w:id="121" w:name="_Toc3384"/>
      <w:r>
        <w:t xml:space="preserve">表 </w:t>
      </w:r>
      <w:bookmarkStart w:id="122" w:name="_Toc16759"/>
      <w:bookmarkStart w:id="123" w:name="_Toc31393"/>
      <w:r>
        <w:rPr>
          <w:rFonts w:hint="eastAsia"/>
          <w:lang w:val="en-US" w:eastAsia="zh-CN"/>
        </w:rPr>
        <w:t>10</w:t>
      </w:r>
      <w:r>
        <w:rPr>
          <w:rFonts w:hint="eastAsia"/>
          <w:lang w:eastAsia="zh-CN"/>
        </w:rPr>
        <w:t xml:space="preserve">  校外实习基地建设情况表</w:t>
      </w:r>
      <w:bookmarkEnd w:id="121"/>
      <w:bookmarkEnd w:id="122"/>
      <w:bookmarkEnd w:id="123"/>
    </w:p>
    <w:tbl>
      <w:tblPr>
        <w:tblStyle w:val="13"/>
        <w:tblW w:w="99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9"/>
        <w:gridCol w:w="1352"/>
        <w:gridCol w:w="1163"/>
        <w:gridCol w:w="968"/>
        <w:gridCol w:w="969"/>
        <w:gridCol w:w="968"/>
        <w:gridCol w:w="1006"/>
        <w:gridCol w:w="2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99" w:type="dxa"/>
            <w:vMerge w:val="restart"/>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基地数</w:t>
            </w:r>
          </w:p>
        </w:tc>
        <w:tc>
          <w:tcPr>
            <w:tcW w:w="2515" w:type="dxa"/>
            <w:gridSpan w:val="2"/>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面 向 专 业</w:t>
            </w:r>
          </w:p>
        </w:tc>
        <w:tc>
          <w:tcPr>
            <w:tcW w:w="1937" w:type="dxa"/>
            <w:gridSpan w:val="2"/>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住 宿 条 件</w:t>
            </w:r>
          </w:p>
        </w:tc>
        <w:tc>
          <w:tcPr>
            <w:tcW w:w="1974" w:type="dxa"/>
            <w:gridSpan w:val="2"/>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补 贴 情 况</w:t>
            </w:r>
          </w:p>
        </w:tc>
        <w:tc>
          <w:tcPr>
            <w:tcW w:w="2383" w:type="dxa"/>
            <w:vMerge w:val="restart"/>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基地接收毕业生占</w:t>
            </w:r>
          </w:p>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接收半年顶岗实习</w:t>
            </w:r>
          </w:p>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b/>
                <w:bCs/>
                <w:kern w:val="2"/>
                <w:sz w:val="24"/>
                <w:szCs w:val="24"/>
                <w:lang w:val="en-US" w:eastAsia="zh-CN" w:bidi="ar-SA"/>
              </w:rPr>
              <w:t>学生数比例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exact"/>
          <w:jc w:val="center"/>
        </w:trPr>
        <w:tc>
          <w:tcPr>
            <w:tcW w:w="1099" w:type="dxa"/>
            <w:vMerge w:val="continue"/>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p>
        </w:tc>
        <w:tc>
          <w:tcPr>
            <w:tcW w:w="1352"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单个专业最多拥有基地数量</w:t>
            </w:r>
          </w:p>
        </w:tc>
        <w:tc>
          <w:tcPr>
            <w:tcW w:w="1163"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无基地</w:t>
            </w:r>
          </w:p>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专业数</w:t>
            </w:r>
          </w:p>
        </w:tc>
        <w:tc>
          <w:tcPr>
            <w:tcW w:w="968"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有</w:t>
            </w:r>
          </w:p>
        </w:tc>
        <w:tc>
          <w:tcPr>
            <w:tcW w:w="969"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无</w:t>
            </w:r>
          </w:p>
        </w:tc>
        <w:tc>
          <w:tcPr>
            <w:tcW w:w="968"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有</w:t>
            </w:r>
          </w:p>
        </w:tc>
        <w:tc>
          <w:tcPr>
            <w:tcW w:w="1006"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无</w:t>
            </w:r>
          </w:p>
        </w:tc>
        <w:tc>
          <w:tcPr>
            <w:tcW w:w="2383" w:type="dxa"/>
            <w:vMerge w:val="continue"/>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99"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60</w:t>
            </w:r>
          </w:p>
        </w:tc>
        <w:tc>
          <w:tcPr>
            <w:tcW w:w="1352"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w:t>
            </w:r>
          </w:p>
        </w:tc>
        <w:tc>
          <w:tcPr>
            <w:tcW w:w="1163"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0</w:t>
            </w:r>
          </w:p>
        </w:tc>
        <w:tc>
          <w:tcPr>
            <w:tcW w:w="968"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60</w:t>
            </w:r>
          </w:p>
        </w:tc>
        <w:tc>
          <w:tcPr>
            <w:tcW w:w="969"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0</w:t>
            </w:r>
          </w:p>
        </w:tc>
        <w:tc>
          <w:tcPr>
            <w:tcW w:w="968"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w:t>
            </w:r>
            <w:r>
              <w:rPr>
                <w:rFonts w:hint="eastAsia" w:ascii="宋体" w:hAnsi="宋体" w:cs="宋体"/>
                <w:kern w:val="2"/>
                <w:sz w:val="24"/>
                <w:szCs w:val="24"/>
                <w:lang w:val="en-US" w:eastAsia="zh-CN" w:bidi="ar-SA"/>
              </w:rPr>
              <w:t>0</w:t>
            </w:r>
          </w:p>
        </w:tc>
        <w:tc>
          <w:tcPr>
            <w:tcW w:w="1006"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50</w:t>
            </w:r>
          </w:p>
        </w:tc>
        <w:tc>
          <w:tcPr>
            <w:tcW w:w="2383"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99"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比例</w:t>
            </w:r>
          </w:p>
        </w:tc>
        <w:tc>
          <w:tcPr>
            <w:tcW w:w="1352"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w:t>
            </w:r>
          </w:p>
        </w:tc>
        <w:tc>
          <w:tcPr>
            <w:tcW w:w="1163"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w:t>
            </w:r>
          </w:p>
        </w:tc>
        <w:tc>
          <w:tcPr>
            <w:tcW w:w="968"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100</w:t>
            </w:r>
            <w:r>
              <w:rPr>
                <w:rFonts w:hint="eastAsia" w:ascii="宋体" w:hAnsi="宋体" w:eastAsia="宋体" w:cs="宋体"/>
                <w:kern w:val="2"/>
                <w:sz w:val="24"/>
                <w:szCs w:val="24"/>
                <w:lang w:val="en-US" w:eastAsia="zh-CN" w:bidi="ar-SA"/>
              </w:rPr>
              <w:t>%</w:t>
            </w:r>
          </w:p>
        </w:tc>
        <w:tc>
          <w:tcPr>
            <w:tcW w:w="969"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0</w:t>
            </w:r>
            <w:r>
              <w:rPr>
                <w:rFonts w:hint="eastAsia" w:ascii="宋体" w:hAnsi="宋体" w:eastAsia="宋体" w:cs="宋体"/>
                <w:kern w:val="2"/>
                <w:sz w:val="24"/>
                <w:szCs w:val="24"/>
                <w:lang w:val="en-US" w:eastAsia="zh-CN" w:bidi="ar-SA"/>
              </w:rPr>
              <w:t>%</w:t>
            </w:r>
          </w:p>
        </w:tc>
        <w:tc>
          <w:tcPr>
            <w:tcW w:w="968"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16.67</w:t>
            </w:r>
            <w:r>
              <w:rPr>
                <w:rFonts w:hint="eastAsia" w:ascii="宋体" w:hAnsi="宋体" w:eastAsia="宋体" w:cs="宋体"/>
                <w:kern w:val="2"/>
                <w:sz w:val="24"/>
                <w:szCs w:val="24"/>
                <w:lang w:val="en-US" w:eastAsia="zh-CN" w:bidi="ar-SA"/>
              </w:rPr>
              <w:t>%</w:t>
            </w:r>
          </w:p>
        </w:tc>
        <w:tc>
          <w:tcPr>
            <w:tcW w:w="1006"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83.33</w:t>
            </w:r>
            <w:r>
              <w:rPr>
                <w:rFonts w:hint="eastAsia" w:ascii="宋体" w:hAnsi="宋体" w:eastAsia="宋体" w:cs="宋体"/>
                <w:kern w:val="2"/>
                <w:sz w:val="24"/>
                <w:szCs w:val="24"/>
                <w:lang w:val="en-US" w:eastAsia="zh-CN" w:bidi="ar-SA"/>
              </w:rPr>
              <w:t>%</w:t>
            </w:r>
          </w:p>
        </w:tc>
        <w:tc>
          <w:tcPr>
            <w:tcW w:w="2383"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4.19</w:t>
            </w:r>
            <w:r>
              <w:rPr>
                <w:rFonts w:hint="eastAsia" w:ascii="宋体" w:hAnsi="宋体" w:eastAsia="宋体" w:cs="宋体"/>
                <w:kern w:val="2"/>
                <w:sz w:val="24"/>
                <w:szCs w:val="24"/>
                <w:lang w:val="en-US" w:eastAsia="zh-CN" w:bidi="ar-SA"/>
              </w:rPr>
              <w:t>%</w:t>
            </w:r>
          </w:p>
        </w:tc>
      </w:tr>
    </w:tbl>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院坚持“服务和依靠”方针，始终把“服务好”放在首位，用服务来争取依靠，用服务来激励依靠，用服务来吸引依靠，用服务来巩固依靠，实现了校企合作双方共赢。加大校企合作力度，改革人才培养模式，改善实训条件，构建双师型教学团队，成为学院办学中的重大举措。</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2022-2023学年企业为学院提供兼职教师9人，学院为企业年培训员工520人天，技术服务收入12.5万元（见表12）。</w:t>
      </w:r>
    </w:p>
    <w:p>
      <w:pPr>
        <w:pStyle w:val="6"/>
        <w:jc w:val="center"/>
        <w:rPr>
          <w:rFonts w:hint="eastAsia" w:eastAsia="宋体"/>
          <w:lang w:eastAsia="zh-CN"/>
        </w:rPr>
      </w:pPr>
      <w:bookmarkStart w:id="124" w:name="_Toc19510"/>
      <w:r>
        <w:t xml:space="preserve">表 </w:t>
      </w:r>
      <w:bookmarkStart w:id="125" w:name="_Toc15396"/>
      <w:bookmarkStart w:id="126" w:name="_Toc11971"/>
      <w:r>
        <w:rPr>
          <w:rFonts w:hint="eastAsia"/>
          <w:lang w:val="en-US" w:eastAsia="zh-CN"/>
        </w:rPr>
        <w:t>11</w:t>
      </w:r>
      <w:r>
        <w:rPr>
          <w:rFonts w:hint="eastAsia"/>
          <w:lang w:eastAsia="zh-CN"/>
        </w:rPr>
        <w:t xml:space="preserve">  2</w:t>
      </w:r>
      <w:r>
        <w:rPr>
          <w:rFonts w:hint="eastAsia"/>
          <w:lang w:val="en-US" w:eastAsia="zh-CN"/>
        </w:rPr>
        <w:t>2</w:t>
      </w:r>
      <w:r>
        <w:rPr>
          <w:rFonts w:hint="eastAsia"/>
          <w:lang w:eastAsia="zh-CN"/>
        </w:rPr>
        <w:t>-2</w:t>
      </w:r>
      <w:r>
        <w:rPr>
          <w:rFonts w:hint="eastAsia"/>
          <w:lang w:val="en-US" w:eastAsia="zh-CN"/>
        </w:rPr>
        <w:t>3</w:t>
      </w:r>
      <w:r>
        <w:rPr>
          <w:rFonts w:hint="eastAsia"/>
          <w:lang w:eastAsia="zh-CN"/>
        </w:rPr>
        <w:t>学年各专业与主要合作企业产学合作情况一览表</w:t>
      </w:r>
      <w:bookmarkEnd w:id="124"/>
      <w:bookmarkEnd w:id="125"/>
      <w:bookmarkEnd w:id="126"/>
    </w:p>
    <w:tbl>
      <w:tblPr>
        <w:tblStyle w:val="13"/>
        <w:tblW w:w="88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4"/>
        <w:gridCol w:w="1580"/>
        <w:gridCol w:w="1580"/>
        <w:gridCol w:w="1580"/>
        <w:gridCol w:w="1580"/>
        <w:gridCol w:w="1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noWrap w:val="0"/>
            <w:vAlign w:val="center"/>
          </w:tcPr>
          <w:p>
            <w:pPr>
              <w:snapToGrid w:val="0"/>
              <w:spacing w:before="0" w:after="0" w:line="240" w:lineRule="auto"/>
              <w:rPr>
                <w:rFonts w:hint="eastAsia" w:ascii="宋体" w:hAnsi="宋体" w:cs="宋体"/>
                <w:b/>
                <w:bCs/>
              </w:rPr>
            </w:pPr>
            <w:r>
              <w:rPr>
                <w:rFonts w:hint="eastAsia" w:ascii="宋体" w:hAnsi="宋体" w:cs="宋体"/>
                <w:b/>
                <w:bCs/>
              </w:rPr>
              <w:t>学 年</w:t>
            </w:r>
          </w:p>
        </w:tc>
        <w:tc>
          <w:tcPr>
            <w:tcW w:w="1580" w:type="dxa"/>
            <w:noWrap w:val="0"/>
            <w:vAlign w:val="center"/>
          </w:tcPr>
          <w:p>
            <w:pPr>
              <w:snapToGrid w:val="0"/>
              <w:spacing w:before="0" w:after="0" w:line="240" w:lineRule="auto"/>
              <w:rPr>
                <w:rFonts w:hint="eastAsia" w:ascii="宋体" w:hAnsi="宋体" w:cs="宋体"/>
                <w:b/>
                <w:bCs/>
              </w:rPr>
            </w:pPr>
            <w:r>
              <w:rPr>
                <w:rFonts w:hint="eastAsia" w:ascii="宋体" w:hAnsi="宋体" w:cs="宋体"/>
                <w:b/>
                <w:bCs/>
              </w:rPr>
              <w:t>合作企业数</w:t>
            </w:r>
          </w:p>
        </w:tc>
        <w:tc>
          <w:tcPr>
            <w:tcW w:w="1580" w:type="dxa"/>
            <w:noWrap w:val="0"/>
            <w:vAlign w:val="center"/>
          </w:tcPr>
          <w:p>
            <w:pPr>
              <w:snapToGrid w:val="0"/>
              <w:spacing w:before="0" w:after="0" w:line="240" w:lineRule="auto"/>
              <w:rPr>
                <w:rFonts w:hint="eastAsia" w:ascii="宋体" w:hAnsi="宋体" w:cs="宋体"/>
                <w:b/>
                <w:bCs/>
              </w:rPr>
            </w:pPr>
            <w:r>
              <w:rPr>
                <w:rFonts w:hint="eastAsia" w:ascii="宋体" w:hAnsi="宋体" w:cs="宋体"/>
                <w:b/>
                <w:bCs/>
              </w:rPr>
              <w:t>支持兼职教师数</w:t>
            </w:r>
          </w:p>
        </w:tc>
        <w:tc>
          <w:tcPr>
            <w:tcW w:w="1580" w:type="dxa"/>
            <w:noWrap w:val="0"/>
            <w:vAlign w:val="center"/>
          </w:tcPr>
          <w:p>
            <w:pPr>
              <w:snapToGrid w:val="0"/>
              <w:spacing w:before="0" w:after="0" w:line="240" w:lineRule="auto"/>
              <w:rPr>
                <w:rFonts w:hint="eastAsia" w:ascii="宋体" w:hAnsi="宋体" w:cs="宋体"/>
                <w:b/>
                <w:bCs/>
              </w:rPr>
            </w:pPr>
            <w:r>
              <w:rPr>
                <w:rFonts w:hint="eastAsia" w:ascii="宋体" w:hAnsi="宋体" w:cs="宋体"/>
                <w:b/>
                <w:bCs/>
              </w:rPr>
              <w:t>技术服务收入（万）</w:t>
            </w:r>
          </w:p>
        </w:tc>
        <w:tc>
          <w:tcPr>
            <w:tcW w:w="1580" w:type="dxa"/>
            <w:noWrap w:val="0"/>
            <w:vAlign w:val="center"/>
          </w:tcPr>
          <w:p>
            <w:pPr>
              <w:snapToGrid w:val="0"/>
              <w:spacing w:before="0" w:after="0" w:line="240" w:lineRule="auto"/>
              <w:rPr>
                <w:rFonts w:hint="eastAsia" w:ascii="宋体" w:hAnsi="宋体" w:cs="宋体"/>
                <w:b/>
                <w:bCs/>
              </w:rPr>
            </w:pPr>
            <w:r>
              <w:rPr>
                <w:rFonts w:hint="eastAsia" w:ascii="宋体" w:hAnsi="宋体" w:cs="宋体"/>
                <w:b/>
                <w:bCs/>
              </w:rPr>
              <w:t>为企业培训员工数（人天）</w:t>
            </w:r>
          </w:p>
        </w:tc>
        <w:tc>
          <w:tcPr>
            <w:tcW w:w="1584" w:type="dxa"/>
            <w:noWrap w:val="0"/>
            <w:vAlign w:val="center"/>
          </w:tcPr>
          <w:p>
            <w:pPr>
              <w:snapToGrid w:val="0"/>
              <w:spacing w:before="0" w:after="0" w:line="240" w:lineRule="auto"/>
              <w:rPr>
                <w:rFonts w:hint="eastAsia" w:ascii="宋体" w:hAnsi="宋体" w:cs="宋体"/>
                <w:b/>
                <w:bCs/>
              </w:rPr>
            </w:pPr>
            <w:r>
              <w:rPr>
                <w:rFonts w:hint="eastAsia" w:ascii="宋体" w:hAnsi="宋体" w:cs="宋体"/>
                <w:b/>
                <w:bCs/>
              </w:rPr>
              <w:t>接受毕业生就业数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4" w:type="dxa"/>
            <w:noWrap w:val="0"/>
            <w:vAlign w:val="center"/>
          </w:tcPr>
          <w:p>
            <w:pPr>
              <w:snapToGrid w:val="0"/>
              <w:spacing w:before="0" w:after="0" w:line="240" w:lineRule="auto"/>
              <w:jc w:val="center"/>
              <w:rPr>
                <w:rFonts w:hint="default" w:ascii="宋体" w:hAnsi="宋体" w:cs="宋体"/>
                <w:sz w:val="20"/>
                <w:szCs w:val="20"/>
                <w:lang w:val="en-US" w:eastAsia="zh-CN"/>
              </w:rPr>
            </w:pPr>
            <w:r>
              <w:rPr>
                <w:rFonts w:hint="eastAsia" w:ascii="宋体" w:hAnsi="宋体" w:cs="宋体"/>
                <w:sz w:val="20"/>
                <w:szCs w:val="20"/>
                <w:lang w:val="en-US" w:eastAsia="zh-CN"/>
              </w:rPr>
              <w:t>22</w:t>
            </w:r>
            <w:r>
              <w:rPr>
                <w:rFonts w:hint="eastAsia" w:ascii="宋体" w:hAnsi="宋体" w:cs="宋体"/>
                <w:sz w:val="20"/>
                <w:szCs w:val="20"/>
              </w:rPr>
              <w:t>-</w:t>
            </w:r>
            <w:r>
              <w:rPr>
                <w:rFonts w:hint="eastAsia" w:ascii="宋体" w:hAnsi="宋体" w:cs="宋体"/>
                <w:sz w:val="20"/>
                <w:szCs w:val="20"/>
                <w:lang w:val="en-US" w:eastAsia="zh-CN"/>
              </w:rPr>
              <w:t>23</w:t>
            </w:r>
          </w:p>
        </w:tc>
        <w:tc>
          <w:tcPr>
            <w:tcW w:w="1580" w:type="dxa"/>
            <w:noWrap w:val="0"/>
            <w:vAlign w:val="center"/>
          </w:tcPr>
          <w:p>
            <w:pPr>
              <w:snapToGrid w:val="0"/>
              <w:spacing w:before="0" w:after="0" w:line="240" w:lineRule="auto"/>
              <w:jc w:val="center"/>
              <w:rPr>
                <w:rFonts w:hint="eastAsia" w:ascii="宋体" w:hAnsi="宋体" w:cs="宋体"/>
                <w:sz w:val="20"/>
                <w:szCs w:val="20"/>
              </w:rPr>
            </w:pPr>
            <w:r>
              <w:rPr>
                <w:rFonts w:hint="eastAsia" w:ascii="宋体" w:hAnsi="宋体" w:cs="宋体"/>
                <w:sz w:val="20"/>
                <w:szCs w:val="20"/>
              </w:rPr>
              <w:t>4</w:t>
            </w:r>
          </w:p>
        </w:tc>
        <w:tc>
          <w:tcPr>
            <w:tcW w:w="1580" w:type="dxa"/>
            <w:noWrap w:val="0"/>
            <w:vAlign w:val="center"/>
          </w:tcPr>
          <w:p>
            <w:pPr>
              <w:snapToGrid w:val="0"/>
              <w:spacing w:before="0" w:after="0" w:line="240" w:lineRule="auto"/>
              <w:jc w:val="center"/>
              <w:rPr>
                <w:rFonts w:hint="eastAsia" w:ascii="宋体" w:hAnsi="宋体" w:eastAsia="宋体" w:cs="宋体"/>
                <w:sz w:val="20"/>
                <w:szCs w:val="20"/>
                <w:lang w:eastAsia="zh-CN"/>
              </w:rPr>
            </w:pPr>
            <w:r>
              <w:rPr>
                <w:rFonts w:hint="eastAsia" w:ascii="宋体" w:hAnsi="宋体" w:cs="宋体"/>
                <w:sz w:val="20"/>
                <w:szCs w:val="20"/>
                <w:lang w:val="en-US" w:eastAsia="zh-CN"/>
              </w:rPr>
              <w:t>9</w:t>
            </w:r>
          </w:p>
        </w:tc>
        <w:tc>
          <w:tcPr>
            <w:tcW w:w="1580" w:type="dxa"/>
            <w:noWrap w:val="0"/>
            <w:vAlign w:val="center"/>
          </w:tcPr>
          <w:p>
            <w:pPr>
              <w:snapToGrid w:val="0"/>
              <w:spacing w:before="0" w:after="0" w:line="240" w:lineRule="auto"/>
              <w:jc w:val="center"/>
              <w:rPr>
                <w:rFonts w:hint="default" w:ascii="宋体" w:hAnsi="宋体" w:cs="宋体"/>
                <w:sz w:val="20"/>
                <w:szCs w:val="20"/>
                <w:lang w:val="en-US" w:eastAsia="zh-CN"/>
              </w:rPr>
            </w:pPr>
            <w:r>
              <w:rPr>
                <w:rFonts w:hint="eastAsia" w:ascii="宋体" w:hAnsi="宋体" w:cs="宋体"/>
                <w:sz w:val="20"/>
                <w:szCs w:val="20"/>
                <w:lang w:val="en-US" w:eastAsia="zh-CN"/>
              </w:rPr>
              <w:t>12.5</w:t>
            </w:r>
          </w:p>
        </w:tc>
        <w:tc>
          <w:tcPr>
            <w:tcW w:w="1580" w:type="dxa"/>
            <w:noWrap w:val="0"/>
            <w:vAlign w:val="center"/>
          </w:tcPr>
          <w:p>
            <w:pPr>
              <w:snapToGrid w:val="0"/>
              <w:spacing w:before="0" w:after="0" w:line="240" w:lineRule="auto"/>
              <w:jc w:val="center"/>
              <w:rPr>
                <w:rFonts w:hint="default" w:ascii="宋体" w:hAnsi="宋体" w:eastAsia="宋体" w:cs="宋体"/>
                <w:sz w:val="20"/>
                <w:szCs w:val="20"/>
                <w:lang w:val="en-US" w:eastAsia="zh-CN"/>
              </w:rPr>
            </w:pPr>
            <w:r>
              <w:rPr>
                <w:rFonts w:hint="eastAsia" w:ascii="宋体" w:hAnsi="宋体" w:cs="宋体"/>
                <w:sz w:val="20"/>
                <w:szCs w:val="20"/>
                <w:lang w:val="en-US" w:eastAsia="zh-CN"/>
              </w:rPr>
              <w:t>520</w:t>
            </w:r>
          </w:p>
        </w:tc>
        <w:tc>
          <w:tcPr>
            <w:tcW w:w="1584" w:type="dxa"/>
            <w:noWrap w:val="0"/>
            <w:vAlign w:val="center"/>
          </w:tcPr>
          <w:p>
            <w:pPr>
              <w:snapToGrid w:val="0"/>
              <w:spacing w:before="0" w:after="0" w:line="240" w:lineRule="auto"/>
              <w:jc w:val="center"/>
              <w:rPr>
                <w:rFonts w:hint="eastAsia" w:ascii="宋体" w:hAnsi="宋体" w:eastAsia="宋体" w:cs="宋体"/>
                <w:sz w:val="20"/>
                <w:szCs w:val="20"/>
                <w:lang w:eastAsia="zh-CN"/>
              </w:rPr>
            </w:pPr>
            <w:r>
              <w:rPr>
                <w:rFonts w:hint="eastAsia" w:ascii="宋体" w:hAnsi="宋体" w:cs="宋体"/>
                <w:sz w:val="20"/>
                <w:szCs w:val="20"/>
                <w:lang w:val="en-US" w:eastAsia="zh-CN"/>
              </w:rPr>
              <w:t>5</w:t>
            </w:r>
          </w:p>
        </w:tc>
      </w:tr>
    </w:tbl>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27" w:name="_Toc316"/>
      <w:r>
        <w:rPr>
          <w:rFonts w:hint="eastAsia" w:ascii="宋体" w:hAnsi="宋体" w:cs="宋体"/>
          <w:b/>
          <w:bCs/>
          <w:sz w:val="28"/>
          <w:szCs w:val="28"/>
          <w:lang w:val="en-US" w:eastAsia="zh-CN"/>
        </w:rPr>
        <w:t>3.2服务就业</w:t>
      </w:r>
      <w:bookmarkEnd w:id="127"/>
    </w:p>
    <w:p>
      <w:pPr>
        <w:pStyle w:val="6"/>
        <w:spacing w:line="240" w:lineRule="auto"/>
        <w:rPr>
          <w:rFonts w:hint="eastAsia" w:ascii="楷体" w:hAnsi="楷体" w:eastAsia="楷体" w:cs="宋体"/>
          <w:b w:val="0"/>
          <w:bCs/>
          <w:kern w:val="2"/>
          <w:sz w:val="24"/>
          <w:szCs w:val="24"/>
          <w:lang w:val="en-US" w:eastAsia="zh-CN" w:bidi="ar-SA"/>
        </w:rPr>
      </w:pPr>
      <w:bookmarkStart w:id="128" w:name="_Toc2705"/>
      <w:r>
        <w:t xml:space="preserve">案例 3- </w:t>
      </w:r>
      <w:r>
        <w:fldChar w:fldCharType="begin"/>
      </w:r>
      <w:r>
        <w:instrText xml:space="preserve"> SEQ 案例_3- \* ARABIC </w:instrText>
      </w:r>
      <w:r>
        <w:fldChar w:fldCharType="separate"/>
      </w:r>
      <w:r>
        <w:t>1</w:t>
      </w:r>
      <w:r>
        <w:fldChar w:fldCharType="end"/>
      </w:r>
      <w:r>
        <w:rPr>
          <w:rFonts w:hint="eastAsia"/>
          <w:lang w:eastAsia="zh-CN"/>
        </w:rPr>
        <w:t xml:space="preserve">  【</w:t>
      </w:r>
      <w:r>
        <w:rPr>
          <w:rFonts w:hint="eastAsia"/>
          <w:lang w:val="en-US" w:eastAsia="zh-CN"/>
        </w:rPr>
        <w:t>太湖创意职业技术学院</w:t>
      </w:r>
      <w:r>
        <w:rPr>
          <w:rFonts w:hint="eastAsia"/>
          <w:lang w:eastAsia="zh-CN"/>
        </w:rPr>
        <w:t>组织工科专业学生参加无锡太湖机床展】</w:t>
      </w:r>
      <w:r>
        <w:rPr>
          <w:rFonts w:hint="eastAsia" w:ascii="楷体" w:hAnsi="楷体" w:eastAsia="楷体" w:cs="宋体"/>
          <w:b w:val="0"/>
          <w:bCs/>
          <w:kern w:val="2"/>
          <w:sz w:val="24"/>
          <w:szCs w:val="24"/>
          <w:lang w:val="en-US" w:eastAsia="zh-CN" w:bidi="ar-SA"/>
        </w:rPr>
        <w:t>制造业是立国之本、兴国之器和强国之基，是国民经济发展的基础和战略性产业。目前我国装备制造业发展正处于一个重要关口，瞄准高端化、智能化、绿色化，向着高质量发展迈进，数控机床作为推进先进制造的核心技术，为中国制造业的升级和发展提供了强有力的支持。9月15-17日无锡太湖机床展在无锡太湖国际博览中心隆重举办，学校师生前往观展与学习。此次参观调研活动，不仅丰富了师生们的专业知识，还为他们提供了一个与业界交流、学习的机会，更是一堂生动的爱国主义思政课，激励他们在独立自主、自立更生的强国之路上走得更远。</w:t>
      </w:r>
      <w:bookmarkEnd w:id="128"/>
    </w:p>
    <w:p>
      <w:pPr>
        <w:rPr>
          <w:rFonts w:hint="eastAsia" w:ascii="微软雅黑" w:hAnsi="微软雅黑" w:eastAsia="微软雅黑" w:cs="微软雅黑"/>
          <w:i w:val="0"/>
          <w:iCs w:val="0"/>
          <w:caps w:val="0"/>
          <w:color w:val="122C89"/>
          <w:spacing w:val="15"/>
          <w:sz w:val="24"/>
          <w:szCs w:val="24"/>
          <w:shd w:val="clear" w:fill="FEFFFF"/>
          <w:lang w:eastAsia="zh-CN"/>
        </w:rPr>
      </w:pPr>
      <w:r>
        <w:rPr>
          <w:rFonts w:hint="eastAsia" w:ascii="微软雅黑" w:hAnsi="微软雅黑" w:eastAsia="微软雅黑" w:cs="微软雅黑"/>
          <w:i w:val="0"/>
          <w:iCs w:val="0"/>
          <w:caps w:val="0"/>
          <w:color w:val="122C89"/>
          <w:spacing w:val="15"/>
          <w:sz w:val="24"/>
          <w:szCs w:val="24"/>
          <w:shd w:val="clear" w:fill="FEFFFF"/>
          <w:lang w:eastAsia="zh-CN"/>
        </w:rPr>
        <w:drawing>
          <wp:anchor distT="0" distB="0" distL="114300" distR="114300" simplePos="0" relativeHeight="251676672" behindDoc="0" locked="0" layoutInCell="1" allowOverlap="1">
            <wp:simplePos x="0" y="0"/>
            <wp:positionH relativeFrom="column">
              <wp:posOffset>323215</wp:posOffset>
            </wp:positionH>
            <wp:positionV relativeFrom="paragraph">
              <wp:posOffset>135890</wp:posOffset>
            </wp:positionV>
            <wp:extent cx="4789170" cy="3593465"/>
            <wp:effectExtent l="0" t="0" r="11430" b="6985"/>
            <wp:wrapNone/>
            <wp:docPr id="33" name="图片 33" descr="f128607581e92dfb885c8f98d9cf4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128607581e92dfb885c8f98d9cf4461"/>
                    <pic:cNvPicPr>
                      <a:picLocks noChangeAspect="1"/>
                    </pic:cNvPicPr>
                  </pic:nvPicPr>
                  <pic:blipFill>
                    <a:blip r:embed="rId40"/>
                    <a:stretch>
                      <a:fillRect/>
                    </a:stretch>
                  </pic:blipFill>
                  <pic:spPr>
                    <a:xfrm>
                      <a:off x="0" y="0"/>
                      <a:ext cx="4789170" cy="3593465"/>
                    </a:xfrm>
                    <a:prstGeom prst="rect">
                      <a:avLst/>
                    </a:prstGeom>
                  </pic:spPr>
                </pic:pic>
              </a:graphicData>
            </a:graphic>
          </wp:anchor>
        </w:drawing>
      </w: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jc w:val="center"/>
        <w:rPr>
          <w:rFonts w:hint="eastAsia" w:ascii="微软雅黑" w:hAnsi="微软雅黑" w:eastAsia="宋体" w:cs="微软雅黑"/>
          <w:i w:val="0"/>
          <w:iCs w:val="0"/>
          <w:caps w:val="0"/>
          <w:color w:val="122C89"/>
          <w:spacing w:val="15"/>
          <w:sz w:val="24"/>
          <w:szCs w:val="24"/>
          <w:shd w:val="clear" w:fill="FEFFFF"/>
          <w:lang w:val="en-US" w:eastAsia="zh-CN"/>
        </w:rPr>
      </w:pPr>
      <w:bookmarkStart w:id="129" w:name="_Toc6319"/>
      <w:r>
        <w:t xml:space="preserve">图 </w:t>
      </w:r>
      <w:r>
        <w:fldChar w:fldCharType="begin"/>
      </w:r>
      <w:r>
        <w:instrText xml:space="preserve"> SEQ 图 \* ARABIC </w:instrText>
      </w:r>
      <w:r>
        <w:fldChar w:fldCharType="separate"/>
      </w:r>
      <w:r>
        <w:t>28</w:t>
      </w:r>
      <w:r>
        <w:fldChar w:fldCharType="end"/>
      </w:r>
      <w:bookmarkStart w:id="130" w:name="_Toc26649"/>
      <w:r>
        <w:rPr>
          <w:rFonts w:hint="eastAsia"/>
          <w:lang w:eastAsia="zh-CN"/>
        </w:rPr>
        <w:t xml:space="preserve">  太湖创意职业技术学院组织工科专业学生参加无锡太湖机床展现场</w:t>
      </w:r>
      <w:bookmarkEnd w:id="129"/>
      <w:bookmarkEnd w:id="130"/>
    </w:p>
    <w:p>
      <w:pPr>
        <w:spacing w:line="240" w:lineRule="auto"/>
        <w:rPr>
          <w:rFonts w:hint="eastAsia" w:ascii="楷体" w:hAnsi="楷体" w:eastAsia="楷体" w:cs="宋体"/>
          <w:b w:val="0"/>
          <w:bCs/>
          <w:kern w:val="2"/>
          <w:sz w:val="24"/>
          <w:szCs w:val="24"/>
          <w:lang w:val="en-US" w:eastAsia="zh-CN" w:bidi="ar-SA"/>
        </w:rPr>
      </w:pPr>
    </w:p>
    <w:p>
      <w:pPr>
        <w:pStyle w:val="6"/>
        <w:spacing w:line="240" w:lineRule="auto"/>
        <w:jc w:val="both"/>
        <w:rPr>
          <w:rFonts w:hint="eastAsia" w:ascii="楷体" w:hAnsi="楷体" w:eastAsia="楷体" w:cs="宋体"/>
          <w:b w:val="0"/>
          <w:bCs/>
          <w:kern w:val="2"/>
          <w:sz w:val="24"/>
          <w:szCs w:val="24"/>
          <w:lang w:val="en-US" w:eastAsia="zh-CN" w:bidi="ar-SA"/>
        </w:rPr>
      </w:pPr>
      <w:bookmarkStart w:id="131" w:name="_Toc8498"/>
      <w:r>
        <w:t xml:space="preserve">案例 3- </w:t>
      </w:r>
      <w:r>
        <w:fldChar w:fldCharType="begin"/>
      </w:r>
      <w:r>
        <w:instrText xml:space="preserve"> SEQ 案例_3- \* ARABIC </w:instrText>
      </w:r>
      <w:r>
        <w:fldChar w:fldCharType="separate"/>
      </w:r>
      <w:r>
        <w:t>2</w:t>
      </w:r>
      <w:r>
        <w:fldChar w:fldCharType="end"/>
      </w:r>
      <w:r>
        <w:rPr>
          <w:rFonts w:hint="eastAsia"/>
          <w:lang w:eastAsia="zh-CN"/>
        </w:rPr>
        <w:t xml:space="preserve">  【太湖创意职业技术学院开展辅导员工作坊】</w:t>
      </w:r>
      <w:r>
        <w:rPr>
          <w:rFonts w:hint="eastAsia" w:ascii="楷体" w:hAnsi="楷体" w:eastAsia="楷体" w:cs="宋体"/>
          <w:b w:val="0"/>
          <w:bCs/>
          <w:kern w:val="2"/>
          <w:sz w:val="24"/>
          <w:szCs w:val="24"/>
          <w:lang w:val="en-US" w:eastAsia="zh-CN" w:bidi="ar-SA"/>
        </w:rPr>
        <w:t>第二期辅导员工作坊在商科楼A107翻转课堂教室成功举办，学校辅导员代表参加本期工作坊活动。本次工作坊的学习之旅，使得各位辅导员老师们对大学生职业生涯规划有了更深刻的认识。有助于他们在开展相关指导时，结合时代特点帮助学生更好地了解自我，确定最佳的职业奋斗目标，提升就业竞争力。这为学校的就业率和就业质量进一步提升注入了新动力。</w:t>
      </w:r>
      <w:bookmarkEnd w:id="131"/>
    </w:p>
    <w:p>
      <w:pPr>
        <w:rPr>
          <w:rFonts w:hint="eastAsia" w:ascii="微软雅黑" w:hAnsi="微软雅黑" w:eastAsia="微软雅黑" w:cs="微软雅黑"/>
          <w:i w:val="0"/>
          <w:iCs w:val="0"/>
          <w:caps w:val="0"/>
          <w:color w:val="3E3E3E"/>
          <w:spacing w:val="8"/>
          <w:sz w:val="24"/>
          <w:szCs w:val="24"/>
          <w:shd w:val="clear" w:fill="FFFFFF"/>
          <w:lang w:val="en-US" w:eastAsia="zh-CN"/>
        </w:rPr>
      </w:pPr>
      <w:r>
        <w:rPr>
          <w:rFonts w:hint="eastAsia" w:ascii="微软雅黑" w:hAnsi="微软雅黑" w:eastAsia="微软雅黑" w:cs="微软雅黑"/>
          <w:i w:val="0"/>
          <w:iCs w:val="0"/>
          <w:caps w:val="0"/>
          <w:color w:val="3E3E3E"/>
          <w:spacing w:val="8"/>
          <w:sz w:val="24"/>
          <w:szCs w:val="24"/>
          <w:shd w:val="clear" w:fill="FFFFFF"/>
          <w:lang w:val="en-US" w:eastAsia="zh-CN"/>
        </w:rPr>
        <w:drawing>
          <wp:anchor distT="0" distB="0" distL="114300" distR="114300" simplePos="0" relativeHeight="251701248" behindDoc="0" locked="0" layoutInCell="1" allowOverlap="1">
            <wp:simplePos x="0" y="0"/>
            <wp:positionH relativeFrom="column">
              <wp:posOffset>314325</wp:posOffset>
            </wp:positionH>
            <wp:positionV relativeFrom="paragraph">
              <wp:posOffset>97790</wp:posOffset>
            </wp:positionV>
            <wp:extent cx="4780280" cy="3187065"/>
            <wp:effectExtent l="0" t="0" r="1270" b="13335"/>
            <wp:wrapNone/>
            <wp:docPr id="50" name="图片 50" descr="556a26f941333f258d759d88bdde02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556a26f941333f258d759d88bdde026a"/>
                    <pic:cNvPicPr>
                      <a:picLocks noChangeAspect="1"/>
                    </pic:cNvPicPr>
                  </pic:nvPicPr>
                  <pic:blipFill>
                    <a:blip r:embed="rId41"/>
                    <a:stretch>
                      <a:fillRect/>
                    </a:stretch>
                  </pic:blipFill>
                  <pic:spPr>
                    <a:xfrm>
                      <a:off x="0" y="0"/>
                      <a:ext cx="4780280" cy="3187065"/>
                    </a:xfrm>
                    <a:prstGeom prst="rect">
                      <a:avLst/>
                    </a:prstGeom>
                  </pic:spPr>
                </pic:pic>
              </a:graphicData>
            </a:graphic>
          </wp:anchor>
        </w:drawing>
      </w:r>
    </w:p>
    <w:p>
      <w:pPr>
        <w:pStyle w:val="6"/>
      </w:pPr>
    </w:p>
    <w:p>
      <w:pPr>
        <w:pStyle w:val="6"/>
      </w:pPr>
    </w:p>
    <w:p>
      <w:pPr>
        <w:pStyle w:val="6"/>
      </w:pPr>
    </w:p>
    <w:p>
      <w:pPr>
        <w:pStyle w:val="6"/>
      </w:pPr>
    </w:p>
    <w:p>
      <w:pPr>
        <w:pStyle w:val="6"/>
      </w:pPr>
    </w:p>
    <w:p>
      <w:pPr>
        <w:pStyle w:val="6"/>
      </w:pPr>
    </w:p>
    <w:p>
      <w:pPr>
        <w:pStyle w:val="6"/>
      </w:pPr>
    </w:p>
    <w:p>
      <w:pPr>
        <w:pStyle w:val="6"/>
      </w:pPr>
    </w:p>
    <w:p>
      <w:pPr>
        <w:pStyle w:val="6"/>
        <w:jc w:val="center"/>
        <w:rPr>
          <w:rFonts w:hint="default" w:eastAsia="宋体"/>
          <w:lang w:val="en-US" w:eastAsia="zh-CN"/>
        </w:rPr>
      </w:pPr>
      <w:bookmarkStart w:id="132" w:name="_Toc963"/>
      <w:r>
        <w:t xml:space="preserve">图 </w:t>
      </w:r>
      <w:r>
        <w:fldChar w:fldCharType="begin"/>
      </w:r>
      <w:r>
        <w:instrText xml:space="preserve"> SEQ 图 \* ARABIC </w:instrText>
      </w:r>
      <w:r>
        <w:fldChar w:fldCharType="separate"/>
      </w:r>
      <w:r>
        <w:t>29</w:t>
      </w:r>
      <w:r>
        <w:fldChar w:fldCharType="end"/>
      </w:r>
      <w:bookmarkStart w:id="133" w:name="_Toc6992"/>
      <w:r>
        <w:rPr>
          <w:rFonts w:hint="eastAsia"/>
          <w:lang w:eastAsia="zh-CN"/>
        </w:rPr>
        <w:t xml:space="preserve">  太湖创意职业技术学院开展辅导员工作坊现场</w:t>
      </w:r>
      <w:r>
        <w:rPr>
          <w:rFonts w:hint="eastAsia"/>
          <w:lang w:val="en-US" w:eastAsia="zh-CN"/>
        </w:rPr>
        <w:t>一</w:t>
      </w:r>
      <w:bookmarkEnd w:id="132"/>
      <w:bookmarkEnd w:id="133"/>
    </w:p>
    <w:p>
      <w:pPr>
        <w:pStyle w:val="6"/>
        <w:jc w:val="center"/>
      </w:pPr>
      <w:r>
        <w:rPr>
          <w:rFonts w:hint="eastAsia" w:ascii="微软雅黑" w:hAnsi="微软雅黑" w:eastAsia="微软雅黑" w:cs="微软雅黑"/>
          <w:i w:val="0"/>
          <w:iCs w:val="0"/>
          <w:caps w:val="0"/>
          <w:color w:val="3E3E3E"/>
          <w:spacing w:val="8"/>
          <w:sz w:val="24"/>
          <w:szCs w:val="24"/>
          <w:shd w:val="clear" w:fill="FFFFFF"/>
          <w:lang w:val="en-US" w:eastAsia="zh-CN"/>
        </w:rPr>
        <w:drawing>
          <wp:anchor distT="0" distB="0" distL="114300" distR="114300" simplePos="0" relativeHeight="251702272" behindDoc="0" locked="0" layoutInCell="1" allowOverlap="1">
            <wp:simplePos x="0" y="0"/>
            <wp:positionH relativeFrom="column">
              <wp:posOffset>323850</wp:posOffset>
            </wp:positionH>
            <wp:positionV relativeFrom="paragraph">
              <wp:posOffset>104140</wp:posOffset>
            </wp:positionV>
            <wp:extent cx="4770120" cy="3180715"/>
            <wp:effectExtent l="0" t="0" r="11430" b="635"/>
            <wp:wrapNone/>
            <wp:docPr id="51" name="图片 51" descr="86f9dee60085307fe441bb1f7e408a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86f9dee60085307fe441bb1f7e408aec"/>
                    <pic:cNvPicPr>
                      <a:picLocks noChangeAspect="1"/>
                    </pic:cNvPicPr>
                  </pic:nvPicPr>
                  <pic:blipFill>
                    <a:blip r:embed="rId42"/>
                    <a:stretch>
                      <a:fillRect/>
                    </a:stretch>
                  </pic:blipFill>
                  <pic:spPr>
                    <a:xfrm>
                      <a:off x="0" y="0"/>
                      <a:ext cx="4770120" cy="3180715"/>
                    </a:xfrm>
                    <a:prstGeom prst="rect">
                      <a:avLst/>
                    </a:prstGeom>
                  </pic:spPr>
                </pic:pic>
              </a:graphicData>
            </a:graphic>
          </wp:anchor>
        </w:drawing>
      </w: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rPr>
          <w:rFonts w:hint="default"/>
          <w:lang w:val="en-US"/>
        </w:rPr>
      </w:pPr>
      <w:bookmarkStart w:id="134" w:name="_Toc18700"/>
      <w:r>
        <w:t xml:space="preserve">图 </w:t>
      </w:r>
      <w:r>
        <w:fldChar w:fldCharType="begin"/>
      </w:r>
      <w:r>
        <w:instrText xml:space="preserve"> SEQ 图 \* ARABIC </w:instrText>
      </w:r>
      <w:r>
        <w:fldChar w:fldCharType="separate"/>
      </w:r>
      <w:r>
        <w:t>30</w:t>
      </w:r>
      <w:r>
        <w:fldChar w:fldCharType="end"/>
      </w:r>
      <w:bookmarkStart w:id="135" w:name="_Toc11954"/>
      <w:r>
        <w:rPr>
          <w:rFonts w:hint="eastAsia"/>
          <w:lang w:eastAsia="zh-CN"/>
        </w:rPr>
        <w:t xml:space="preserve">  太湖创意职业技术学院开展辅导员工作坊现场</w:t>
      </w:r>
      <w:r>
        <w:rPr>
          <w:rFonts w:hint="eastAsia"/>
          <w:lang w:val="en-US" w:eastAsia="zh-CN"/>
        </w:rPr>
        <w:t>二</w:t>
      </w:r>
      <w:bookmarkEnd w:id="134"/>
      <w:bookmarkEnd w:id="135"/>
    </w:p>
    <w:p>
      <w:pPr>
        <w:pStyle w:val="6"/>
        <w:jc w:val="center"/>
        <w:rPr>
          <w:rFonts w:hint="eastAsia" w:eastAsia="宋体"/>
          <w:lang w:eastAsia="zh-CN"/>
        </w:rPr>
      </w:pPr>
      <w:bookmarkStart w:id="136" w:name="_Toc2274"/>
      <w:r>
        <w:t xml:space="preserve">表 </w:t>
      </w:r>
      <w:bookmarkStart w:id="137" w:name="_Toc11931"/>
      <w:bookmarkStart w:id="138" w:name="_Toc22586"/>
      <w:r>
        <w:rPr>
          <w:rFonts w:hint="eastAsia"/>
          <w:lang w:val="en-US" w:eastAsia="zh-CN"/>
        </w:rPr>
        <w:t>12</w:t>
      </w:r>
      <w:r>
        <w:rPr>
          <w:rFonts w:hint="eastAsia"/>
          <w:lang w:eastAsia="zh-CN"/>
        </w:rPr>
        <w:t xml:space="preserve">  服务贡献表</w:t>
      </w:r>
      <w:bookmarkEnd w:id="136"/>
      <w:bookmarkEnd w:id="137"/>
      <w:bookmarkEnd w:id="138"/>
    </w:p>
    <w:tbl>
      <w:tblPr>
        <w:tblStyle w:val="13"/>
        <w:tblW w:w="953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40"/>
        <w:gridCol w:w="4373"/>
        <w:gridCol w:w="1080"/>
        <w:gridCol w:w="1080"/>
        <w:gridCol w:w="1080"/>
        <w:gridCol w:w="10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9" w:hRule="atLeast"/>
          <w:jc w:val="center"/>
        </w:trPr>
        <w:tc>
          <w:tcPr>
            <w:tcW w:w="9533" w:type="dxa"/>
            <w:gridSpan w:val="6"/>
            <w:tcBorders>
              <w:top w:val="nil"/>
              <w:left w:val="nil"/>
              <w:bottom w:val="nil"/>
              <w:right w:val="nil"/>
            </w:tcBorders>
            <w:shd w:val="clear" w:color="auto" w:fill="auto"/>
            <w:noWrap/>
            <w:vAlign w:val="center"/>
          </w:tcPr>
          <w:p>
            <w:pPr>
              <w:keepNext w:val="0"/>
              <w:keepLines w:val="0"/>
              <w:widowControl/>
              <w:suppressLineNumbers w:val="0"/>
              <w:spacing w:line="240" w:lineRule="auto"/>
              <w:jc w:val="left"/>
              <w:textAlignment w:val="center"/>
              <w:rPr>
                <w:rFonts w:ascii="仿宋_GB2312" w:hAnsi="等线" w:eastAsia="仿宋_GB2312" w:cs="仿宋_GB2312"/>
                <w:b/>
                <w:bCs/>
                <w:i w:val="0"/>
                <w:iCs w:val="0"/>
                <w:color w:val="000000"/>
                <w:sz w:val="28"/>
                <w:szCs w:val="28"/>
                <w:u w:val="none"/>
              </w:rPr>
            </w:pPr>
            <w:r>
              <w:rPr>
                <w:rFonts w:hint="eastAsia" w:ascii="宋体" w:hAnsi="宋体" w:eastAsia="宋体" w:cs="宋体"/>
                <w:b/>
                <w:bCs/>
                <w:i w:val="0"/>
                <w:iCs w:val="0"/>
                <w:color w:val="000000"/>
                <w:kern w:val="0"/>
                <w:sz w:val="24"/>
                <w:szCs w:val="24"/>
                <w:u w:val="none"/>
                <w:lang w:val="en-US" w:eastAsia="zh-CN" w:bidi="ar"/>
              </w:rPr>
              <w:t>名称：太湖创意职业技术学院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2022年</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lang w:val="en-US" w:eastAsia="zh-CN"/>
              </w:rPr>
            </w:pPr>
            <w:r>
              <w:rPr>
                <w:rFonts w:hint="eastAsia" w:ascii="宋体" w:hAnsi="宋体" w:eastAsia="宋体" w:cs="宋体"/>
                <w:b/>
                <w:bCs/>
                <w:i w:val="0"/>
                <w:iCs w:val="0"/>
                <w:color w:val="000000"/>
                <w:sz w:val="24"/>
                <w:szCs w:val="24"/>
                <w:u w:val="none"/>
                <w:lang w:val="en-US" w:eastAsia="zh-CN"/>
              </w:rPr>
              <w:t>2023年</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全日制在校生人数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0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2206</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3104</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毕业生就业人数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0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291</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425</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其中：A类：留在当地就业</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0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107</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152</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B类：到西部和东北地区就业</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0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3</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C类：到中小微企业等基层就业</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人 </w:t>
            </w:r>
          </w:p>
        </w:tc>
        <w:tc>
          <w:tcPr>
            <w:tcW w:w="10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286</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414</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D类：到大型企业就业</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4</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横向技术服务到款额</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横向技术服务产生的经济效益</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纵向科研经费到款额</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技术产权交易收入</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知识产权项目数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其中：专利授权数量</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rPr>
                <w:rFonts w:hint="eastAsia" w:ascii="宋体" w:hAnsi="宋体" w:eastAsia="宋体" w:cs="宋体"/>
                <w:i w:val="0"/>
                <w:iCs w:val="0"/>
                <w:color w:val="000000"/>
                <w:sz w:val="20"/>
                <w:szCs w:val="20"/>
                <w:u w:val="none"/>
              </w:rPr>
            </w:pP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发明专利授权数量</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rPr>
                <w:rFonts w:hint="eastAsia" w:ascii="宋体" w:hAnsi="宋体" w:eastAsia="宋体" w:cs="宋体"/>
                <w:i w:val="0"/>
                <w:iCs w:val="0"/>
                <w:color w:val="000000"/>
                <w:sz w:val="20"/>
                <w:szCs w:val="20"/>
                <w:u w:val="none"/>
              </w:rPr>
            </w:pP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专利成果转化到款额</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非学历培训项目数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1</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非学历培训学时</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学时</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20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非学历培训到账经费</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2.00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4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公益项目培训学时</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学时</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20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bl>
    <w:p>
      <w:pPr>
        <w:keepNext w:val="0"/>
        <w:keepLines w:val="0"/>
        <w:pageBreakBefore w:val="0"/>
        <w:widowControl w:val="0"/>
        <w:kinsoku/>
        <w:wordWrap/>
        <w:overflowPunct/>
        <w:topLinePunct w:val="0"/>
        <w:autoSpaceDE/>
        <w:autoSpaceDN/>
        <w:bidi w:val="0"/>
        <w:adjustRightInd/>
        <w:snapToGrid/>
        <w:spacing w:line="520" w:lineRule="exact"/>
        <w:ind w:firstLine="640"/>
        <w:textAlignment w:val="auto"/>
        <w:rPr>
          <w:rFonts w:hint="eastAsia" w:eastAsia="仿宋_GB2312"/>
          <w:sz w:val="32"/>
          <w:szCs w:val="32"/>
        </w:rPr>
      </w:pPr>
    </w:p>
    <w:p>
      <w:pPr>
        <w:keepNext w:val="0"/>
        <w:keepLines w:val="0"/>
        <w:pageBreakBefore w:val="0"/>
        <w:widowControl w:val="0"/>
        <w:kinsoku/>
        <w:wordWrap/>
        <w:overflowPunct/>
        <w:topLinePunct w:val="0"/>
        <w:autoSpaceDE/>
        <w:autoSpaceDN/>
        <w:bidi w:val="0"/>
        <w:adjustRightInd/>
        <w:snapToGrid/>
        <w:spacing w:line="520" w:lineRule="exact"/>
        <w:ind w:firstLine="640"/>
        <w:textAlignment w:val="auto"/>
        <w:rPr>
          <w:rFonts w:hint="eastAsia" w:eastAsia="仿宋_GB2312"/>
          <w:sz w:val="32"/>
          <w:szCs w:val="32"/>
        </w:rPr>
      </w:pPr>
    </w:p>
    <w:p>
      <w:pPr>
        <w:keepNext w:val="0"/>
        <w:keepLines w:val="0"/>
        <w:pageBreakBefore w:val="0"/>
        <w:widowControl w:val="0"/>
        <w:kinsoku/>
        <w:wordWrap/>
        <w:overflowPunct/>
        <w:topLinePunct w:val="0"/>
        <w:autoSpaceDE/>
        <w:autoSpaceDN/>
        <w:bidi w:val="0"/>
        <w:adjustRightInd/>
        <w:snapToGrid/>
        <w:spacing w:line="520" w:lineRule="exact"/>
        <w:ind w:firstLine="640"/>
        <w:textAlignment w:val="auto"/>
        <w:rPr>
          <w:rFonts w:hint="eastAsia" w:eastAsia="仿宋_GB2312"/>
          <w:sz w:val="32"/>
          <w:szCs w:val="32"/>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39" w:name="_Toc16232"/>
      <w:r>
        <w:rPr>
          <w:rFonts w:hint="eastAsia" w:ascii="宋体" w:hAnsi="宋体" w:cs="宋体"/>
          <w:b/>
          <w:bCs/>
          <w:sz w:val="28"/>
          <w:szCs w:val="28"/>
          <w:lang w:val="en-US" w:eastAsia="zh-CN"/>
        </w:rPr>
        <w:t>3.3服务民生</w:t>
      </w:r>
      <w:bookmarkEnd w:id="139"/>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在对接国家发展战略要求方面，学校积极响应，采取了一系列举措，取得了一定的成效。以下是一些具体的措施和成果：</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 东西协作：学校积极探索通过与西部地区的高职院校合作，共同培养人才，提高当地经济发展水平。例如，与西部地区的高职院校建立了“一对一”帮扶机制，共同制定人才培养方案，开展课程建设、师资培训等方面的工作。</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乡村振兴：通过组织学生暑期“三下乡”实践活动，将学生的所学专业与农村地区发展实际相结合，在提高农民收入水平等方面做出了贡献。还通过乡村旅游、民宿管理等方面的培训，助力乡村产业转型升级。</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对口帮扶：学校还积极探索开展对口帮扶工作，通过与贫困地区的高职院校合作，共同制定人才培养方案，提高当地经济发展水平。例如，选择当地紧缺人才的专业与贫困地区的高职院校建立了合作机制，共同培养人才，助力当地经济发展。</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在托育服务、养老服务、家政服务等职业技能培训方面，学校也积极开展工作，取得了一定的成果。以下是一些具体的措施和成果：</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职业技能培训：高职院校开设了各种职业技能培训课程，包括托育服务、养老服务、家政服务等，以提高学员的技能水平。这些课程通常采用理论教学和实践操作相结合的方式，使学员能够更好地掌握相关技能。</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（2）老年教育：学校还通过学生志愿者活动开展老年教育，面向低龄老年人提供技能普及。这些活动包括计算机基础、养生保健、烹饪技艺等，以提高老年人的生活质量。</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一老一小”领域的专业开办情况：学校在“一老一小”领域均开设了相关专业，包括婴幼儿托育服务与管理、护理、智慧健康养老服务与管理等，以满足社会对这些领域的人才需求。学校的在校生和毕业生人数也在不断增加。这表明学校在培养人才方面取得了显著成果，为社会提供了大量有用的人才。</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学校在对接国家发展战略要求、开展职业技能培训、实施老年教育等方面采取了一系列积极措施，取得了一定的成效。这些措施和成果为推动国家经济发展、促进社会和谐稳定做出了贡献。</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40" w:name="_Toc25884"/>
      <w:r>
        <w:rPr>
          <w:rFonts w:hint="eastAsia" w:ascii="宋体" w:hAnsi="宋体" w:cs="宋体"/>
          <w:b/>
          <w:bCs/>
          <w:sz w:val="28"/>
          <w:szCs w:val="28"/>
          <w:lang w:val="en-US" w:eastAsia="zh-CN"/>
        </w:rPr>
        <w:t>3.4服务美丽中国</w:t>
      </w:r>
      <w:bookmarkEnd w:id="140"/>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学校紧贴本地需求，拓宽服务维度、强化服务力度，积极提升社会服务水平和能力方面的突出表现和独特贡献，发挥学校办学优势，积极提升社会服务水平和能力的典型经验，可以总结为以下几点：</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深入了解本地需求：学校深入了解本地的经济、文化、社会等各方面的需求，以确定能够满足这些需求的服务方向和服务内容。这可以通过与当地政府、企业、社区等机构进行合作，定期开展调研和交流来实现。</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拓宽服务维度：学校不仅需要提供人才培养服务，还需要积极开展社会培训、文化交流、科技创新等活动，以满足当地多元化的需求。同时，学校还可以通过参与社区建设、推动区域经济发展等方式，将服务维度进一步拓宽。</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强化服务力度：学校不断提升服务的质量和效果，以满足当地日益增长的需求。这可以通过提高教师教学质量、加强实践教学、优化课程设置等方式来实现。同时，学校还可以通过建立校际、校企等合作机制，共享资源、互利共赢，进一步提升服务力度。</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4）提升社会服务水平和能力：学校需要不断加强自身建设，提高社会服务水平和能力。这可以通过加强师资队伍建设、提高科研水平、优化人才培养模式等方式来实现。同时，学校还可以通过参与国际交流与合作，引入先进的办学理念和资源，进一步提升自身的社会服务能力和影响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（5）发挥学校办学优势：学校需要充分发挥自身的优势，以提供具有特色的社会服务。例如，学校结合地域文化特色充分发挥自身在地域文化方面的优势，为当地的文化传承和发展提供支持。</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学校参与生态环境污染防治、资源节约和循环利用、城市绿色发展、新能源、能耗和污染物协同控制技术等领域的做法与成效，可以从以下几个方面进行说明：</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生态环境污染防治：学校通过开展环保教育、环保科研以及环保实践活动，提高师生的环保意识和环保能力。同时，学校还可以与企业、政府等机构合作，共同开展环保项目，例如环境污染治理、生态修复等。通过这些合作，学校可以为当地的生态环境保护做出积极的贡献。</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资源节约和循环利用：学校通过推广节能技术、开展资源回收利用等活动，促进资源的节约和循环利用。例如，学校建设节能型校园，推广节能型设备和设施，同时还可以通过科研和实践，研发新的节能技术和产品。这些举措不仅可以提高学校的节能减排效果，还可以为社会做出示范和引领作用。</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城市绿色发展：学校通过参与城市规划、城市绿化等活动，促进城市的绿色发展。例如，学校与企业合作，共同开展城市绿化项目，为城市的生态环境做出贡献。同时，学校还通过开展环保实践活动，提高学生和市民的环保意识和环保能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bookmarkStart w:id="141" w:name="_Toc1798"/>
      <w:r>
        <w:rPr>
          <w:rFonts w:hint="eastAsia" w:ascii="宋体" w:hAnsi="宋体" w:cs="宋体"/>
          <w:b/>
          <w:bCs/>
          <w:sz w:val="28"/>
          <w:szCs w:val="28"/>
          <w:lang w:val="en-US" w:eastAsia="zh-CN"/>
        </w:rPr>
        <w:t>4.文化传承</w:t>
      </w:r>
      <w:bookmarkEnd w:id="141"/>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42" w:name="_Toc3371"/>
      <w:r>
        <w:rPr>
          <w:rFonts w:hint="eastAsia" w:ascii="宋体" w:hAnsi="宋体" w:cs="宋体"/>
          <w:b/>
          <w:bCs/>
          <w:sz w:val="28"/>
          <w:szCs w:val="28"/>
          <w:lang w:val="en-US" w:eastAsia="zh-CN"/>
        </w:rPr>
        <w:t>4.1传承工匠精神</w:t>
      </w:r>
      <w:bookmarkEnd w:id="142"/>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eastAsia="仿宋_GB2312"/>
          <w:sz w:val="32"/>
          <w:szCs w:val="32"/>
        </w:rPr>
      </w:pPr>
      <w:r>
        <w:rPr>
          <w:rFonts w:hint="eastAsia" w:ascii="宋体" w:hAnsi="宋体" w:cs="宋体"/>
          <w:sz w:val="28"/>
          <w:szCs w:val="28"/>
          <w:lang w:val="en-US" w:eastAsia="zh-CN"/>
        </w:rPr>
        <w:t>学校在开展工匠精神主题活动、推动工匠精神落地生根方面，起到了重要的作用。以下是一些具体的做法和成效：</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（1）工匠精神主题活动：通过开展工匠精神主题演讲、征文、社会实践、志愿服务、展演展示等一系列活动，让更多的学生了解工匠精神的内涵和价值，引导学生树立追求卓越、精益求精的精神。</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（2）成立工匠学院、开设工匠班：通过成立工匠学院和开设工匠班，为学生提供更为专业的技能培训和教育，注重实践操作和技术创新，培养学生的实践能力和工匠精神。</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（3）建立技能大师工作室、大国工匠进校园：通过建立技能大师工作室和邀请大国工匠进校园，让学生近距离接触高技能人才，了解他们的工作和技艺，激发学生对技能的热爱和追求。</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4）开展志愿服务、职业启蒙教育：通过开展志愿服务和职业启蒙教育，引导学生关注社会公益事业，培养学生的社会责任感和奉献精神。同时，通过职业启蒙教育，让学生了解各种职业的特点和要求，为未来的职业规划做好准备。</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（5）宣传推广优秀职教学子苦练技术技能：通过宣传推广优秀职教学子的经验和事迹，树立榜样和标杆，激励更多的学生苦练技术技能，追求卓越和成功。</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这些活动的开展，不仅有助于培养学生的实践能力和工匠精神，也有助于提高社会的认知度和认可度，推动职业教育的发展和进步。同时，这些活动也为学生未来的职业发展和社会责任做好了准备，为培养高素质的技能人才做出了贡献。</w:t>
      </w: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rPr>
          <w:rFonts w:hint="eastAsia" w:ascii="楷体" w:hAnsi="楷体" w:eastAsia="楷体" w:cs="宋体"/>
          <w:bCs/>
          <w:kern w:val="2"/>
          <w:sz w:val="24"/>
          <w:szCs w:val="24"/>
          <w:lang w:val="en-US" w:eastAsia="zh-CN" w:bidi="ar-SA"/>
        </w:rPr>
      </w:pPr>
      <w:bookmarkStart w:id="143" w:name="_Toc15266"/>
      <w:r>
        <w:t xml:space="preserve">案例 4- </w:t>
      </w:r>
      <w:r>
        <w:fldChar w:fldCharType="begin"/>
      </w:r>
      <w:r>
        <w:instrText xml:space="preserve"> SEQ 案例_4- \* ARABIC </w:instrText>
      </w:r>
      <w:r>
        <w:fldChar w:fldCharType="separate"/>
      </w:r>
      <w:r>
        <w:t>1</w:t>
      </w:r>
      <w:r>
        <w:fldChar w:fldCharType="end"/>
      </w:r>
      <w:r>
        <w:rPr>
          <w:rFonts w:hint="eastAsia"/>
          <w:lang w:eastAsia="zh-CN"/>
        </w:rPr>
        <w:t xml:space="preserve">  【</w:t>
      </w:r>
      <w:r>
        <w:rPr>
          <w:rFonts w:hint="eastAsia"/>
          <w:lang w:val="en-US" w:eastAsia="zh-CN"/>
        </w:rPr>
        <w:t>太湖创意职业技术学院</w:t>
      </w:r>
      <w:r>
        <w:rPr>
          <w:rFonts w:hint="eastAsia"/>
          <w:lang w:eastAsia="zh-CN"/>
        </w:rPr>
        <w:t>志愿者服务环蠡湖半程马拉松】</w:t>
      </w:r>
      <w:r>
        <w:rPr>
          <w:rFonts w:hint="eastAsia" w:ascii="楷体" w:hAnsi="楷体" w:eastAsia="楷体" w:cs="宋体"/>
          <w:bCs/>
          <w:kern w:val="2"/>
          <w:sz w:val="24"/>
          <w:szCs w:val="24"/>
          <w:lang w:val="en-US" w:eastAsia="zh-CN" w:bidi="ar-SA"/>
        </w:rPr>
        <w:t>学校青年志愿者们践行“奉献、友爱、互助、进步”的志愿者精神，助力赛事的顺利进行。组委会培训老师为志愿者们讲解了基础医疗知识、马拉松比赛常见意外情况处理等相关知识，让志愿者熟知蠡湖赛事内容、组织情况，明确职责，规范工作纪律，加深对蠡湖马拉松赛事和服务内容的认知。通过培训，志愿者们对本次蠡湖马拉松拉伸服务以及轮椅担架工作更加熟悉，也让志愿服务的真正意义和精神内涵深入人心。</w:t>
      </w:r>
      <w:bookmarkEnd w:id="143"/>
    </w:p>
    <w:p>
      <w:pPr>
        <w:rPr>
          <w:rFonts w:hint="eastAsia" w:ascii="微软雅黑" w:hAnsi="微软雅黑" w:eastAsia="微软雅黑" w:cs="微软雅黑"/>
          <w:i w:val="0"/>
          <w:iCs w:val="0"/>
          <w:caps w:val="0"/>
          <w:color w:val="3E3E3E"/>
          <w:spacing w:val="15"/>
          <w:sz w:val="22"/>
          <w:szCs w:val="22"/>
          <w:lang w:eastAsia="zh-CN"/>
        </w:rPr>
      </w:pPr>
      <w:r>
        <w:rPr>
          <w:rFonts w:hint="eastAsia" w:ascii="微软雅黑" w:hAnsi="微软雅黑" w:eastAsia="微软雅黑" w:cs="微软雅黑"/>
          <w:i w:val="0"/>
          <w:iCs w:val="0"/>
          <w:caps w:val="0"/>
          <w:color w:val="3E3E3E"/>
          <w:spacing w:val="15"/>
          <w:sz w:val="22"/>
          <w:szCs w:val="22"/>
          <w:lang w:eastAsia="zh-CN"/>
        </w:rPr>
        <w:drawing>
          <wp:anchor distT="0" distB="0" distL="114300" distR="114300" simplePos="0" relativeHeight="251679744" behindDoc="0" locked="0" layoutInCell="1" allowOverlap="1">
            <wp:simplePos x="0" y="0"/>
            <wp:positionH relativeFrom="column">
              <wp:posOffset>371475</wp:posOffset>
            </wp:positionH>
            <wp:positionV relativeFrom="paragraph">
              <wp:posOffset>6985</wp:posOffset>
            </wp:positionV>
            <wp:extent cx="4559935" cy="3314700"/>
            <wp:effectExtent l="0" t="0" r="12065" b="0"/>
            <wp:wrapNone/>
            <wp:docPr id="35" name="图片 35" descr="7e3fae36453b43a7cc73c74f55243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7e3fae36453b43a7cc73c74f55243cab"/>
                    <pic:cNvPicPr>
                      <a:picLocks noChangeAspect="1"/>
                    </pic:cNvPicPr>
                  </pic:nvPicPr>
                  <pic:blipFill>
                    <a:blip r:embed="rId43"/>
                    <a:stretch>
                      <a:fillRect/>
                    </a:stretch>
                  </pic:blipFill>
                  <pic:spPr>
                    <a:xfrm>
                      <a:off x="0" y="0"/>
                      <a:ext cx="4559935" cy="3314700"/>
                    </a:xfrm>
                    <a:prstGeom prst="rect">
                      <a:avLst/>
                    </a:prstGeom>
                  </pic:spPr>
                </pic:pic>
              </a:graphicData>
            </a:graphic>
          </wp:anchor>
        </w:drawing>
      </w:r>
    </w:p>
    <w:p>
      <w:pPr>
        <w:pStyle w:val="6"/>
      </w:pPr>
    </w:p>
    <w:p>
      <w:pPr>
        <w:pStyle w:val="6"/>
      </w:pPr>
    </w:p>
    <w:p>
      <w:pPr>
        <w:pStyle w:val="6"/>
      </w:pPr>
    </w:p>
    <w:p>
      <w:pPr>
        <w:pStyle w:val="6"/>
      </w:pPr>
    </w:p>
    <w:p>
      <w:pPr>
        <w:pStyle w:val="6"/>
      </w:pPr>
    </w:p>
    <w:p>
      <w:pPr>
        <w:pStyle w:val="6"/>
      </w:pPr>
    </w:p>
    <w:p>
      <w:pPr>
        <w:pStyle w:val="6"/>
      </w:pPr>
    </w:p>
    <w:p>
      <w:pPr>
        <w:pStyle w:val="6"/>
      </w:pPr>
    </w:p>
    <w:p>
      <w:pPr>
        <w:pStyle w:val="6"/>
        <w:jc w:val="center"/>
        <w:rPr>
          <w:rFonts w:hint="eastAsia" w:eastAsia="宋体"/>
          <w:lang w:eastAsia="zh-CN"/>
        </w:rPr>
      </w:pPr>
      <w:bookmarkStart w:id="144" w:name="_Toc27020"/>
      <w:r>
        <w:rPr>
          <w:rFonts w:hint="eastAsia" w:ascii="微软雅黑" w:hAnsi="微软雅黑" w:eastAsia="微软雅黑" w:cs="微软雅黑"/>
          <w:i w:val="0"/>
          <w:iCs w:val="0"/>
          <w:caps w:val="0"/>
          <w:spacing w:val="15"/>
          <w:sz w:val="22"/>
          <w:szCs w:val="22"/>
          <w:shd w:val="clear" w:fill="E2F8EC"/>
          <w:lang w:eastAsia="zh-CN"/>
        </w:rPr>
        <w:drawing>
          <wp:anchor distT="0" distB="0" distL="114300" distR="114300" simplePos="0" relativeHeight="251680768" behindDoc="0" locked="0" layoutInCell="1" allowOverlap="1">
            <wp:simplePos x="0" y="0"/>
            <wp:positionH relativeFrom="column">
              <wp:posOffset>430530</wp:posOffset>
            </wp:positionH>
            <wp:positionV relativeFrom="paragraph">
              <wp:posOffset>367030</wp:posOffset>
            </wp:positionV>
            <wp:extent cx="4529455" cy="3408680"/>
            <wp:effectExtent l="0" t="0" r="4445" b="1270"/>
            <wp:wrapNone/>
            <wp:docPr id="36" name="图片 36" descr="b894a8f896994dac7ac02af5e86d99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894a8f896994dac7ac02af5e86d994a"/>
                    <pic:cNvPicPr>
                      <a:picLocks noChangeAspect="1"/>
                    </pic:cNvPicPr>
                  </pic:nvPicPr>
                  <pic:blipFill>
                    <a:blip r:embed="rId44"/>
                    <a:stretch>
                      <a:fillRect/>
                    </a:stretch>
                  </pic:blipFill>
                  <pic:spPr>
                    <a:xfrm>
                      <a:off x="0" y="0"/>
                      <a:ext cx="4529455" cy="3408680"/>
                    </a:xfrm>
                    <a:prstGeom prst="rect">
                      <a:avLst/>
                    </a:prstGeom>
                  </pic:spPr>
                </pic:pic>
              </a:graphicData>
            </a:graphic>
          </wp:anchor>
        </w:drawing>
      </w:r>
      <w:r>
        <w:t xml:space="preserve">图 </w:t>
      </w:r>
      <w:r>
        <w:fldChar w:fldCharType="begin"/>
      </w:r>
      <w:r>
        <w:instrText xml:space="preserve"> SEQ 图 \* ARABIC </w:instrText>
      </w:r>
      <w:r>
        <w:fldChar w:fldCharType="separate"/>
      </w:r>
      <w:r>
        <w:t>31</w:t>
      </w:r>
      <w:r>
        <w:fldChar w:fldCharType="end"/>
      </w:r>
      <w:bookmarkStart w:id="145" w:name="_Toc15285"/>
      <w:r>
        <w:rPr>
          <w:rFonts w:hint="eastAsia"/>
          <w:lang w:eastAsia="zh-CN"/>
        </w:rPr>
        <w:t xml:space="preserve">  太湖创意职业技术学院志愿者服务环蠡湖半程马拉松现场</w:t>
      </w:r>
      <w:bookmarkEnd w:id="144"/>
      <w:bookmarkEnd w:id="145"/>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rPr>
          <w:rFonts w:hint="eastAsia" w:ascii="宋体" w:hAnsi="宋体" w:cs="宋体"/>
          <w:b/>
          <w:bCs/>
          <w:sz w:val="28"/>
          <w:szCs w:val="28"/>
          <w:lang w:val="en-US" w:eastAsia="zh-CN"/>
        </w:rPr>
      </w:pPr>
      <w:bookmarkStart w:id="146" w:name="_Toc30340"/>
      <w:r>
        <w:t xml:space="preserve">图 </w:t>
      </w:r>
      <w:r>
        <w:fldChar w:fldCharType="begin"/>
      </w:r>
      <w:r>
        <w:instrText xml:space="preserve"> SEQ 图 \* ARABIC </w:instrText>
      </w:r>
      <w:r>
        <w:fldChar w:fldCharType="separate"/>
      </w:r>
      <w:r>
        <w:t>32</w:t>
      </w:r>
      <w:r>
        <w:fldChar w:fldCharType="end"/>
      </w:r>
      <w:bookmarkStart w:id="147" w:name="_Toc3104"/>
      <w:r>
        <w:rPr>
          <w:rFonts w:hint="eastAsia"/>
          <w:lang w:eastAsia="zh-CN"/>
        </w:rPr>
        <w:t xml:space="preserve">  太湖创意职业技术学院志愿者服务环蠡湖半程马拉松赛前培训场景</w:t>
      </w:r>
      <w:bookmarkEnd w:id="146"/>
      <w:bookmarkEnd w:id="147"/>
    </w:p>
    <w:p>
      <w:pPr>
        <w:pStyle w:val="6"/>
        <w:spacing w:line="240" w:lineRule="auto"/>
        <w:rPr>
          <w:rFonts w:hint="eastAsia" w:ascii="楷体" w:hAnsi="楷体" w:eastAsia="楷体" w:cs="宋体"/>
          <w:bCs/>
          <w:kern w:val="2"/>
          <w:sz w:val="24"/>
          <w:szCs w:val="24"/>
          <w:lang w:val="en-US" w:eastAsia="zh-CN" w:bidi="ar-SA"/>
        </w:rPr>
      </w:pPr>
      <w:bookmarkStart w:id="148" w:name="_Toc4073"/>
      <w:r>
        <w:t xml:space="preserve">案例 4- </w:t>
      </w:r>
      <w:r>
        <w:fldChar w:fldCharType="begin"/>
      </w:r>
      <w:r>
        <w:instrText xml:space="preserve"> SEQ 案例_4- \* ARABIC </w:instrText>
      </w:r>
      <w:r>
        <w:fldChar w:fldCharType="separate"/>
      </w:r>
      <w:r>
        <w:t>2</w:t>
      </w:r>
      <w:r>
        <w:fldChar w:fldCharType="end"/>
      </w:r>
      <w:r>
        <w:rPr>
          <w:rFonts w:hint="eastAsia"/>
          <w:lang w:eastAsia="zh-CN"/>
        </w:rPr>
        <w:t xml:space="preserve">  【太湖创意职业技术学院组织机电专业学生参观无锡太湖机床展】</w:t>
      </w:r>
      <w:r>
        <w:rPr>
          <w:rFonts w:hint="eastAsia" w:ascii="楷体" w:hAnsi="楷体" w:eastAsia="楷体" w:cs="宋体"/>
          <w:bCs/>
          <w:kern w:val="2"/>
          <w:sz w:val="24"/>
          <w:szCs w:val="24"/>
          <w:lang w:val="en-US" w:eastAsia="zh-CN" w:bidi="ar-SA"/>
        </w:rPr>
        <w:t>新时代中国经济建设坚定不移走高质量发展道路，高端制造是经济高质量发展的重要支撑。科技自立自强是国家强盛之基、安全之要。“‘匠心’是大国工匠择一事，终一生，干一行，爱一行的精神源泉，是同学们成为优秀技能人才的关键，也是职业教育立德树人的重点。”为丰富学生们的专业实训课程，加强学生的社会实践能力和交际能力，同时为了培养学生们的工匠精神，学校工程技术学院团总支牵头，组织21级机电专业学生参观了第41届无锡太湖机床展。</w:t>
      </w:r>
      <w:bookmarkEnd w:id="148"/>
    </w:p>
    <w:p>
      <w:pPr>
        <w:keepNext w:val="0"/>
        <w:keepLines w:val="0"/>
        <w:pageBreakBefore w:val="0"/>
        <w:widowControl w:val="0"/>
        <w:kinsoku/>
        <w:wordWrap/>
        <w:overflowPunct/>
        <w:topLinePunct w:val="0"/>
        <w:autoSpaceDE/>
        <w:autoSpaceDN/>
        <w:bidi w:val="0"/>
        <w:adjustRightInd/>
        <w:snapToGrid/>
        <w:spacing w:before="0" w:after="0" w:line="520" w:lineRule="exact"/>
        <w:ind w:firstLine="512" w:firstLineChars="200"/>
        <w:textAlignment w:val="auto"/>
        <w:outlineLvl w:val="1"/>
        <w:rPr>
          <w:rFonts w:hint="eastAsia" w:ascii="微软雅黑" w:hAnsi="微软雅黑" w:eastAsia="微软雅黑" w:cs="微软雅黑"/>
          <w:i w:val="0"/>
          <w:iCs w:val="0"/>
          <w:caps w:val="0"/>
          <w:color w:val="3E3E3E"/>
          <w:spacing w:val="8"/>
          <w:sz w:val="24"/>
          <w:szCs w:val="24"/>
          <w:shd w:val="clear" w:fill="FFFBF4"/>
          <w:lang w:val="en-US" w:eastAsia="zh-CN"/>
        </w:rPr>
      </w:pPr>
      <w:r>
        <w:rPr>
          <w:rFonts w:hint="eastAsia" w:ascii="微软雅黑" w:hAnsi="微软雅黑" w:eastAsia="微软雅黑" w:cs="微软雅黑"/>
          <w:i w:val="0"/>
          <w:iCs w:val="0"/>
          <w:caps w:val="0"/>
          <w:color w:val="3E3E3E"/>
          <w:spacing w:val="8"/>
          <w:sz w:val="24"/>
          <w:szCs w:val="24"/>
          <w:shd w:val="clear" w:fill="FFFBF4"/>
          <w:lang w:val="en-US" w:eastAsia="zh-CN"/>
        </w:rPr>
        <w:drawing>
          <wp:anchor distT="0" distB="0" distL="114300" distR="114300" simplePos="0" relativeHeight="251697152" behindDoc="0" locked="0" layoutInCell="1" allowOverlap="1">
            <wp:simplePos x="0" y="0"/>
            <wp:positionH relativeFrom="column">
              <wp:posOffset>171450</wp:posOffset>
            </wp:positionH>
            <wp:positionV relativeFrom="paragraph">
              <wp:posOffset>66040</wp:posOffset>
            </wp:positionV>
            <wp:extent cx="5048250" cy="2458720"/>
            <wp:effectExtent l="0" t="0" r="0" b="17780"/>
            <wp:wrapNone/>
            <wp:docPr id="45" name="图片 45" descr="f769aac2923ce078c627ea88cbed5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769aac2923ce078c627ea88cbed5d23"/>
                    <pic:cNvPicPr>
                      <a:picLocks noChangeAspect="1"/>
                    </pic:cNvPicPr>
                  </pic:nvPicPr>
                  <pic:blipFill>
                    <a:blip r:embed="rId45"/>
                    <a:stretch>
                      <a:fillRect/>
                    </a:stretch>
                  </pic:blipFill>
                  <pic:spPr>
                    <a:xfrm>
                      <a:off x="0" y="0"/>
                      <a:ext cx="5048250" cy="2458720"/>
                    </a:xfrm>
                    <a:prstGeom prst="rect">
                      <a:avLst/>
                    </a:prstGeom>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jc w:val="center"/>
        <w:textAlignment w:val="auto"/>
        <w:outlineLvl w:val="1"/>
        <w:rPr>
          <w:rFonts w:hint="eastAsia" w:ascii="微软雅黑" w:hAnsi="微软雅黑" w:eastAsia="宋体" w:cs="微软雅黑"/>
          <w:i w:val="0"/>
          <w:iCs w:val="0"/>
          <w:caps w:val="0"/>
          <w:color w:val="3E3E3E"/>
          <w:spacing w:val="8"/>
          <w:sz w:val="24"/>
          <w:szCs w:val="24"/>
          <w:shd w:val="clear" w:fill="FFFBF4"/>
          <w:lang w:val="en-US" w:eastAsia="zh-CN"/>
        </w:rPr>
      </w:pPr>
      <w:bookmarkStart w:id="149" w:name="_Toc13699"/>
      <w:bookmarkStart w:id="150" w:name="_Toc15059"/>
      <w:r>
        <w:t xml:space="preserve">图 </w:t>
      </w:r>
      <w:r>
        <w:fldChar w:fldCharType="begin"/>
      </w:r>
      <w:r>
        <w:instrText xml:space="preserve"> SEQ 图 \* ARABIC </w:instrText>
      </w:r>
      <w:r>
        <w:fldChar w:fldCharType="separate"/>
      </w:r>
      <w:r>
        <w:t>33</w:t>
      </w:r>
      <w:r>
        <w:fldChar w:fldCharType="end"/>
      </w:r>
      <w:bookmarkStart w:id="151" w:name="_Toc25172"/>
      <w:r>
        <w:rPr>
          <w:rFonts w:hint="eastAsia"/>
          <w:lang w:eastAsia="zh-CN"/>
        </w:rPr>
        <w:t xml:space="preserve">  太湖创意职业技术学院组织机电专业学生参观无锡太湖机床展现场一</w:t>
      </w:r>
      <w:bookmarkEnd w:id="149"/>
      <w:bookmarkEnd w:id="150"/>
      <w:bookmarkEnd w:id="151"/>
    </w:p>
    <w:p>
      <w:pPr>
        <w:keepNext w:val="0"/>
        <w:keepLines w:val="0"/>
        <w:pageBreakBefore w:val="0"/>
        <w:widowControl w:val="0"/>
        <w:kinsoku/>
        <w:wordWrap/>
        <w:overflowPunct/>
        <w:topLinePunct w:val="0"/>
        <w:autoSpaceDE/>
        <w:autoSpaceDN/>
        <w:bidi w:val="0"/>
        <w:adjustRightInd/>
        <w:snapToGrid/>
        <w:spacing w:before="0" w:after="0" w:line="520" w:lineRule="exact"/>
        <w:ind w:firstLine="512" w:firstLineChars="200"/>
        <w:textAlignment w:val="auto"/>
        <w:outlineLvl w:val="1"/>
        <w:rPr>
          <w:rFonts w:hint="eastAsia" w:ascii="微软雅黑" w:hAnsi="微软雅黑" w:eastAsia="微软雅黑" w:cs="微软雅黑"/>
          <w:i w:val="0"/>
          <w:iCs w:val="0"/>
          <w:caps w:val="0"/>
          <w:color w:val="3E3E3E"/>
          <w:spacing w:val="8"/>
          <w:sz w:val="24"/>
          <w:szCs w:val="24"/>
          <w:shd w:val="clear" w:fill="FFFBF4"/>
          <w:lang w:val="en-US" w:eastAsia="zh-CN"/>
        </w:rPr>
      </w:pPr>
      <w:r>
        <w:rPr>
          <w:rFonts w:hint="eastAsia" w:ascii="微软雅黑" w:hAnsi="微软雅黑" w:eastAsia="微软雅黑" w:cs="微软雅黑"/>
          <w:i w:val="0"/>
          <w:iCs w:val="0"/>
          <w:caps w:val="0"/>
          <w:color w:val="3E3E3E"/>
          <w:spacing w:val="8"/>
          <w:sz w:val="24"/>
          <w:szCs w:val="24"/>
          <w:shd w:val="clear" w:fill="FFFBF4"/>
          <w:lang w:val="en-US" w:eastAsia="zh-CN"/>
        </w:rPr>
        <w:drawing>
          <wp:anchor distT="0" distB="0" distL="114300" distR="114300" simplePos="0" relativeHeight="251698176" behindDoc="0" locked="0" layoutInCell="1" allowOverlap="1">
            <wp:simplePos x="0" y="0"/>
            <wp:positionH relativeFrom="column">
              <wp:posOffset>180975</wp:posOffset>
            </wp:positionH>
            <wp:positionV relativeFrom="paragraph">
              <wp:posOffset>161925</wp:posOffset>
            </wp:positionV>
            <wp:extent cx="5037455" cy="3834765"/>
            <wp:effectExtent l="0" t="0" r="10795" b="13335"/>
            <wp:wrapNone/>
            <wp:docPr id="46" name="图片 46" descr="e9e9bb140cf9e1616cd3417006da78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e9e9bb140cf9e1616cd3417006da789e"/>
                    <pic:cNvPicPr>
                      <a:picLocks noChangeAspect="1"/>
                    </pic:cNvPicPr>
                  </pic:nvPicPr>
                  <pic:blipFill>
                    <a:blip r:embed="rId46"/>
                    <a:stretch>
                      <a:fillRect/>
                    </a:stretch>
                  </pic:blipFill>
                  <pic:spPr>
                    <a:xfrm>
                      <a:off x="0" y="0"/>
                      <a:ext cx="5037455" cy="3834765"/>
                    </a:xfrm>
                    <a:prstGeom prst="rect">
                      <a:avLst/>
                    </a:prstGeom>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outlineLvl w:val="1"/>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jc w:val="center"/>
        <w:textAlignment w:val="auto"/>
        <w:outlineLvl w:val="1"/>
        <w:rPr>
          <w:rFonts w:hint="eastAsia" w:ascii="宋体" w:hAnsi="宋体" w:cs="宋体"/>
          <w:b/>
          <w:bCs/>
          <w:sz w:val="28"/>
          <w:szCs w:val="28"/>
          <w:lang w:val="en-US" w:eastAsia="zh-CN"/>
        </w:rPr>
      </w:pPr>
      <w:bookmarkStart w:id="152" w:name="_Toc5961"/>
      <w:bookmarkStart w:id="153" w:name="_Toc28241"/>
      <w:r>
        <w:t xml:space="preserve">图 </w:t>
      </w:r>
      <w:r>
        <w:fldChar w:fldCharType="begin"/>
      </w:r>
      <w:r>
        <w:instrText xml:space="preserve"> SEQ 图 \* ARABIC </w:instrText>
      </w:r>
      <w:r>
        <w:fldChar w:fldCharType="separate"/>
      </w:r>
      <w:r>
        <w:t>34</w:t>
      </w:r>
      <w:r>
        <w:fldChar w:fldCharType="end"/>
      </w:r>
      <w:bookmarkStart w:id="154" w:name="_Toc12465"/>
      <w:r>
        <w:rPr>
          <w:rFonts w:hint="eastAsia"/>
          <w:lang w:eastAsia="zh-CN"/>
        </w:rPr>
        <w:t xml:space="preserve">  太湖创意职业技术学院组织机电专业学生参观无锡太湖机床展现场二</w:t>
      </w:r>
      <w:bookmarkEnd w:id="152"/>
      <w:bookmarkEnd w:id="153"/>
      <w:bookmarkEnd w:id="154"/>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55" w:name="_Toc25382"/>
      <w:r>
        <w:rPr>
          <w:rFonts w:hint="eastAsia" w:ascii="宋体" w:hAnsi="宋体" w:cs="宋体"/>
          <w:b/>
          <w:bCs/>
          <w:sz w:val="28"/>
          <w:szCs w:val="28"/>
          <w:lang w:val="en-US" w:eastAsia="zh-CN"/>
        </w:rPr>
        <w:t>4.2传承红色基因</w:t>
      </w:r>
      <w:bookmarkEnd w:id="155"/>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学校在开展红色文化艺术教育、红色阅读、红色文化社团实践等方面，积极发挥自身优势，推动红色文化的传承和发展。以下是一些具体的做法和成效：</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红色文化艺术教育：学校通过开设红色文化艺术课程、组织红色文化艺术比赛、举办红色文化艺术展览等活动，让学生了解和认识红色文化艺术的历史背景、文化内涵和艺术价值，提高学生的文化素养和艺术鉴赏能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（2）红色阅读：通过开展红色阅读活动，引导学生阅读红色经典著作、党史、党报书籍等，让学生了解中国共产党的历史和优良传统，增强学生的历史使命感和责任感。</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（3）红色文化社团实践：通过成立红色文化社团，组织学生开展红色文化实践活动，例如到革命遗址、纪念馆等地参观学习，让学生亲身感受红色文化的魅力，加深对红色文化的理解和认识。</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（4）充分使用服务学生和社会大众的数字化红色教育资源、虚拟红色体验场景，让学生和社会大众可以通过网络平台了解和学习红色文化，增强红色文化的传播力和影响力。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（5）组建高素质红色文化传播团队：通过组建高素质红色文化传播团队，为学校和社会提供专业的红色文化传播服务，例如为社区提供红色文化宣传服务等，推动红色文化的普及和传承。</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6）利用区域红色资源优势，结合区域党史事迹、革命先辈故事、革命遗址等，规划红色研学旅行线路，开展红色思政实践活动：通过利用当地的红色资源优势，结合区域内的党史事迹、革命先辈故事、革命遗址等，规划红色研学旅行线路，让学生亲身感受红色文化的魅力，加深对红色文化的理解和认识。同时，通过开展红色思政实践活动，引导学生将所学知识应用到实际工作中去，提高学生的实践能力和综合素质。</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学校在开展红色文化艺术教育、红色阅读、红色文化社团实践等方面发挥了积极作用。这些措施不仅有利于传承和弘扬红色文化，也有利于促进社会和谐稳定和国家繁荣发展。</w:t>
      </w:r>
    </w:p>
    <w:p>
      <w:pPr>
        <w:pStyle w:val="6"/>
        <w:spacing w:line="240" w:lineRule="auto"/>
      </w:pPr>
    </w:p>
    <w:p>
      <w:pPr>
        <w:pStyle w:val="6"/>
        <w:spacing w:line="240" w:lineRule="auto"/>
        <w:rPr>
          <w:rFonts w:hint="eastAsia" w:ascii="楷体" w:hAnsi="楷体" w:eastAsia="楷体" w:cs="宋体"/>
          <w:b w:val="0"/>
          <w:bCs/>
          <w:kern w:val="2"/>
          <w:sz w:val="24"/>
          <w:szCs w:val="24"/>
          <w:lang w:val="en-US" w:eastAsia="zh-CN" w:bidi="ar-SA"/>
        </w:rPr>
      </w:pPr>
      <w:bookmarkStart w:id="156" w:name="_Toc17002"/>
      <w:r>
        <w:t xml:space="preserve">案例 4- </w:t>
      </w:r>
      <w:r>
        <w:fldChar w:fldCharType="begin"/>
      </w:r>
      <w:r>
        <w:instrText xml:space="preserve"> SEQ 案例_4- \* ARABIC </w:instrText>
      </w:r>
      <w:r>
        <w:fldChar w:fldCharType="separate"/>
      </w:r>
      <w:r>
        <w:t>3</w:t>
      </w:r>
      <w:r>
        <w:fldChar w:fldCharType="end"/>
      </w:r>
      <w:r>
        <w:rPr>
          <w:rFonts w:hint="eastAsia"/>
          <w:lang w:eastAsia="zh-CN"/>
        </w:rPr>
        <w:t xml:space="preserve">  【</w:t>
      </w:r>
      <w:r>
        <w:rPr>
          <w:rFonts w:hint="eastAsia"/>
          <w:lang w:val="en-US" w:eastAsia="zh-CN"/>
        </w:rPr>
        <w:t>太湖创意职业技术学院</w:t>
      </w:r>
      <w:r>
        <w:rPr>
          <w:rFonts w:hint="eastAsia"/>
          <w:lang w:eastAsia="zh-CN"/>
        </w:rPr>
        <w:t>暑期社会实践-参过淮海战役纪念馆】</w:t>
      </w:r>
      <w:r>
        <w:rPr>
          <w:rFonts w:hint="eastAsia" w:ascii="楷体" w:hAnsi="楷体" w:eastAsia="楷体" w:cs="宋体"/>
          <w:b w:val="0"/>
          <w:bCs/>
          <w:kern w:val="2"/>
          <w:sz w:val="24"/>
          <w:szCs w:val="24"/>
          <w:lang w:val="en-US" w:eastAsia="zh-CN" w:bidi="ar-SA"/>
        </w:rPr>
        <w:t>在骄阳似火的八月，“红色故里，追忆征途”实践队积极响应学校与社会号召，来到淮海战役纪念馆进行参观学习，开展社会实践活动。通过活动让学生们意识到必须始终续红色血脉，用党的奋斗历程和伟大成就鼓舞斗志，指引方同，用党的光荣传统和优良作风坚定信念，凝聚力量，用党的历史经验和实践创造启迪智慧，研砺品格，继往开来，开拓前进。把革命、命先烈流血牺牲打下的红色江山守护好，建设好，努力创造不负革命先辈的期望。</w:t>
      </w:r>
      <w:bookmarkEnd w:id="156"/>
    </w:p>
    <w:p>
      <w:pPr>
        <w:rPr>
          <w:rFonts w:hint="eastAsia" w:ascii="微软雅黑" w:hAnsi="微软雅黑" w:eastAsia="微软雅黑" w:cs="微软雅黑"/>
          <w:i w:val="0"/>
          <w:iCs w:val="0"/>
          <w:caps w:val="0"/>
          <w:color w:val="000000"/>
          <w:spacing w:val="15"/>
          <w:sz w:val="21"/>
          <w:szCs w:val="21"/>
          <w:shd w:val="clear" w:fill="FFFFFF"/>
          <w:lang w:eastAsia="zh-CN"/>
        </w:rPr>
      </w:pPr>
      <w:r>
        <w:rPr>
          <w:rFonts w:hint="eastAsia" w:ascii="微软雅黑" w:hAnsi="微软雅黑" w:eastAsia="微软雅黑" w:cs="微软雅黑"/>
          <w:i w:val="0"/>
          <w:iCs w:val="0"/>
          <w:caps w:val="0"/>
          <w:color w:val="000000"/>
          <w:spacing w:val="15"/>
          <w:sz w:val="21"/>
          <w:szCs w:val="21"/>
          <w:shd w:val="clear" w:fill="FFFFFF"/>
          <w:lang w:eastAsia="zh-CN"/>
        </w:rPr>
        <w:drawing>
          <wp:anchor distT="0" distB="0" distL="114300" distR="114300" simplePos="0" relativeHeight="251681792" behindDoc="0" locked="0" layoutInCell="1" allowOverlap="1">
            <wp:simplePos x="0" y="0"/>
            <wp:positionH relativeFrom="column">
              <wp:posOffset>193040</wp:posOffset>
            </wp:positionH>
            <wp:positionV relativeFrom="paragraph">
              <wp:posOffset>217805</wp:posOffset>
            </wp:positionV>
            <wp:extent cx="4775835" cy="3583940"/>
            <wp:effectExtent l="0" t="0" r="5715" b="16510"/>
            <wp:wrapNone/>
            <wp:docPr id="49" name="图片 49" descr="593910688ea371566ae0119db450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593910688ea371566ae0119db4509824"/>
                    <pic:cNvPicPr>
                      <a:picLocks noChangeAspect="1"/>
                    </pic:cNvPicPr>
                  </pic:nvPicPr>
                  <pic:blipFill>
                    <a:blip r:embed="rId47"/>
                    <a:stretch>
                      <a:fillRect/>
                    </a:stretch>
                  </pic:blipFill>
                  <pic:spPr>
                    <a:xfrm>
                      <a:off x="0" y="0"/>
                      <a:ext cx="4775835" cy="3583940"/>
                    </a:xfrm>
                    <a:prstGeom prst="rect">
                      <a:avLst/>
                    </a:prstGeom>
                  </pic:spPr>
                </pic:pic>
              </a:graphicData>
            </a:graphic>
          </wp:anchor>
        </w:drawing>
      </w: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jc w:val="center"/>
        <w:rPr>
          <w:rFonts w:hint="eastAsia" w:ascii="微软雅黑" w:hAnsi="微软雅黑" w:eastAsia="宋体" w:cs="微软雅黑"/>
          <w:i w:val="0"/>
          <w:iCs w:val="0"/>
          <w:caps w:val="0"/>
          <w:color w:val="000000"/>
          <w:spacing w:val="15"/>
          <w:sz w:val="21"/>
          <w:szCs w:val="21"/>
          <w:shd w:val="clear" w:fill="FFFFFF"/>
          <w:lang w:val="en-US" w:eastAsia="zh-CN"/>
        </w:rPr>
      </w:pPr>
      <w:bookmarkStart w:id="157" w:name="_Toc14109"/>
      <w:r>
        <w:t xml:space="preserve">图 </w:t>
      </w:r>
      <w:r>
        <w:fldChar w:fldCharType="begin"/>
      </w:r>
      <w:r>
        <w:instrText xml:space="preserve"> SEQ 图 \* ARABIC </w:instrText>
      </w:r>
      <w:r>
        <w:fldChar w:fldCharType="separate"/>
      </w:r>
      <w:r>
        <w:t>35</w:t>
      </w:r>
      <w:r>
        <w:fldChar w:fldCharType="end"/>
      </w:r>
      <w:bookmarkStart w:id="158" w:name="_Toc8482"/>
      <w:r>
        <w:rPr>
          <w:rFonts w:hint="eastAsia"/>
          <w:lang w:eastAsia="zh-CN"/>
        </w:rPr>
        <w:t xml:space="preserve">  太湖创意职业技术学院暑期社会实践-参过淮海战役纪念馆现场一</w:t>
      </w:r>
      <w:bookmarkEnd w:id="157"/>
      <w:bookmarkEnd w:id="158"/>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微软雅黑" w:hAnsi="微软雅黑" w:eastAsia="微软雅黑" w:cs="微软雅黑"/>
          <w:i w:val="0"/>
          <w:iCs w:val="0"/>
          <w:caps w:val="0"/>
          <w:color w:val="000000"/>
          <w:spacing w:val="15"/>
          <w:sz w:val="21"/>
          <w:szCs w:val="21"/>
          <w:shd w:val="clear" w:fill="FFFFFF"/>
          <w:lang w:eastAsia="zh-CN"/>
        </w:rPr>
      </w:pPr>
      <w:r>
        <w:rPr>
          <w:rFonts w:hint="eastAsia" w:ascii="微软雅黑" w:hAnsi="微软雅黑" w:eastAsia="微软雅黑" w:cs="微软雅黑"/>
          <w:i w:val="0"/>
          <w:iCs w:val="0"/>
          <w:caps w:val="0"/>
          <w:color w:val="000000"/>
          <w:spacing w:val="15"/>
          <w:sz w:val="21"/>
          <w:szCs w:val="21"/>
          <w:shd w:val="clear" w:fill="FFFFFF"/>
          <w:lang w:eastAsia="zh-CN"/>
        </w:rPr>
        <w:drawing>
          <wp:anchor distT="0" distB="0" distL="114300" distR="114300" simplePos="0" relativeHeight="251682816" behindDoc="0" locked="0" layoutInCell="1" allowOverlap="1">
            <wp:simplePos x="0" y="0"/>
            <wp:positionH relativeFrom="column">
              <wp:posOffset>304800</wp:posOffset>
            </wp:positionH>
            <wp:positionV relativeFrom="paragraph">
              <wp:posOffset>236220</wp:posOffset>
            </wp:positionV>
            <wp:extent cx="4658360" cy="3493135"/>
            <wp:effectExtent l="0" t="0" r="8890" b="12065"/>
            <wp:wrapNone/>
            <wp:docPr id="2" name="图片 2" descr="6a80f82f445bf06a1267f5dc1c2f88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a80f82f445bf06a1267f5dc1c2f88d4"/>
                    <pic:cNvPicPr>
                      <a:picLocks noChangeAspect="1"/>
                    </pic:cNvPicPr>
                  </pic:nvPicPr>
                  <pic:blipFill>
                    <a:blip r:embed="rId48"/>
                    <a:stretch>
                      <a:fillRect/>
                    </a:stretch>
                  </pic:blipFill>
                  <pic:spPr>
                    <a:xfrm>
                      <a:off x="0" y="0"/>
                      <a:ext cx="4658360" cy="3493135"/>
                    </a:xfrm>
                    <a:prstGeom prst="rect">
                      <a:avLst/>
                    </a:prstGeom>
                  </pic:spPr>
                </pic:pic>
              </a:graphicData>
            </a:graphic>
          </wp:anchor>
        </w:drawing>
      </w: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jc w:val="center"/>
        <w:rPr>
          <w:rFonts w:hint="eastAsia" w:ascii="微软雅黑" w:hAnsi="微软雅黑" w:eastAsia="宋体" w:cs="微软雅黑"/>
          <w:i w:val="0"/>
          <w:iCs w:val="0"/>
          <w:caps w:val="0"/>
          <w:color w:val="000000"/>
          <w:spacing w:val="15"/>
          <w:sz w:val="21"/>
          <w:szCs w:val="21"/>
          <w:shd w:val="clear" w:fill="FFFFFF"/>
          <w:lang w:val="en-US" w:eastAsia="zh-CN"/>
        </w:rPr>
      </w:pPr>
      <w:bookmarkStart w:id="159" w:name="_Toc113"/>
      <w:r>
        <w:t xml:space="preserve">图 </w:t>
      </w:r>
      <w:r>
        <w:fldChar w:fldCharType="begin"/>
      </w:r>
      <w:r>
        <w:instrText xml:space="preserve"> SEQ 图 \* ARABIC </w:instrText>
      </w:r>
      <w:r>
        <w:fldChar w:fldCharType="separate"/>
      </w:r>
      <w:r>
        <w:t>36</w:t>
      </w:r>
      <w:r>
        <w:fldChar w:fldCharType="end"/>
      </w:r>
      <w:bookmarkStart w:id="160" w:name="_Toc5660"/>
      <w:r>
        <w:rPr>
          <w:rFonts w:hint="eastAsia"/>
          <w:lang w:eastAsia="zh-CN"/>
        </w:rPr>
        <w:t xml:space="preserve">  太湖创意职业技术学院暑期社会实践-参过淮海战役纪念馆现场二</w:t>
      </w:r>
      <w:bookmarkEnd w:id="159"/>
      <w:bookmarkEnd w:id="160"/>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楷体" w:hAnsi="楷体" w:eastAsia="楷体" w:cs="宋体"/>
          <w:b w:val="0"/>
          <w:bCs/>
          <w:kern w:val="2"/>
          <w:sz w:val="24"/>
          <w:szCs w:val="24"/>
          <w:lang w:val="en-US" w:eastAsia="zh-CN" w:bidi="ar-SA"/>
        </w:rPr>
      </w:pPr>
    </w:p>
    <w:p>
      <w:pPr>
        <w:rPr>
          <w:rFonts w:hint="eastAsia" w:ascii="微软雅黑" w:hAnsi="微软雅黑" w:eastAsia="微软雅黑" w:cs="微软雅黑"/>
          <w:i w:val="0"/>
          <w:iCs w:val="0"/>
          <w:caps w:val="0"/>
          <w:color w:val="000000"/>
          <w:spacing w:val="15"/>
          <w:sz w:val="21"/>
          <w:szCs w:val="21"/>
          <w:shd w:val="clear" w:fill="FFFFFF"/>
          <w:lang w:eastAsia="zh-CN"/>
        </w:rPr>
      </w:pPr>
    </w:p>
    <w:p>
      <w:pPr>
        <w:pStyle w:val="6"/>
        <w:spacing w:line="240" w:lineRule="auto"/>
        <w:rPr>
          <w:rFonts w:hint="eastAsia" w:ascii="微软雅黑" w:hAnsi="微软雅黑" w:eastAsia="微软雅黑" w:cs="微软雅黑"/>
          <w:i w:val="0"/>
          <w:iCs w:val="0"/>
          <w:caps w:val="0"/>
          <w:spacing w:val="8"/>
          <w:sz w:val="22"/>
          <w:szCs w:val="22"/>
          <w:shd w:val="clear" w:fill="FFFFFF"/>
          <w:lang w:val="en-US" w:eastAsia="zh-CN"/>
        </w:rPr>
      </w:pPr>
    </w:p>
    <w:p>
      <w:pPr>
        <w:pStyle w:val="6"/>
        <w:spacing w:line="240" w:lineRule="auto"/>
        <w:rPr>
          <w:rFonts w:hint="eastAsia" w:ascii="楷体" w:hAnsi="楷体" w:eastAsia="楷体" w:cs="宋体"/>
          <w:b w:val="0"/>
          <w:bCs/>
          <w:kern w:val="2"/>
          <w:sz w:val="24"/>
          <w:szCs w:val="24"/>
          <w:lang w:val="en-US" w:eastAsia="zh-CN" w:bidi="ar-SA"/>
        </w:rPr>
      </w:pPr>
      <w:bookmarkStart w:id="161" w:name="_Toc20768"/>
      <w:r>
        <w:t xml:space="preserve">案例 4- </w:t>
      </w:r>
      <w:r>
        <w:fldChar w:fldCharType="begin"/>
      </w:r>
      <w:r>
        <w:instrText xml:space="preserve"> SEQ 案例_4- \* ARABIC </w:instrText>
      </w:r>
      <w:r>
        <w:fldChar w:fldCharType="separate"/>
      </w:r>
      <w:r>
        <w:t>4</w:t>
      </w:r>
      <w:r>
        <w:fldChar w:fldCharType="end"/>
      </w:r>
      <w:r>
        <w:rPr>
          <w:rFonts w:hint="eastAsia"/>
          <w:lang w:eastAsia="zh-CN"/>
        </w:rPr>
        <w:t xml:space="preserve">  【太湖创意职业技术学院青年学习社开展主题学习感悟活动】</w:t>
      </w:r>
      <w:r>
        <w:rPr>
          <w:rFonts w:hint="eastAsia" w:ascii="楷体" w:hAnsi="楷体" w:eastAsia="楷体" w:cs="宋体"/>
          <w:b w:val="0"/>
          <w:bCs/>
          <w:kern w:val="2"/>
          <w:sz w:val="24"/>
          <w:szCs w:val="24"/>
          <w:lang w:val="en-US" w:eastAsia="zh-CN" w:bidi="ar-SA"/>
        </w:rPr>
        <w:t>为深入学习党的二十大精神，强化青年思想引领，抓好贯彻落实党的二十大精神，从党的奋斗历程中汲取智慧和力量，更加坚定、更加自觉地践行初心使命，使二十大精神深入人心。学校团委在青年学习社开展主题学习感悟活动。通过活动使学生们懂得了作为一名新时代的新青年，要勇担时代重托，不负党和人民的殷切希望，全力展现新风采新作为。</w:t>
      </w:r>
      <w:bookmarkEnd w:id="161"/>
    </w:p>
    <w:p>
      <w:pPr>
        <w:rPr>
          <w:rFonts w:hint="eastAsia" w:ascii="微软雅黑" w:hAnsi="微软雅黑" w:eastAsia="微软雅黑" w:cs="微软雅黑"/>
          <w:i w:val="0"/>
          <w:iCs w:val="0"/>
          <w:caps w:val="0"/>
          <w:color w:val="000000"/>
          <w:spacing w:val="15"/>
          <w:sz w:val="21"/>
          <w:szCs w:val="21"/>
          <w:shd w:val="clear" w:fill="FFFFFF"/>
          <w:lang w:eastAsia="zh-CN"/>
        </w:rPr>
      </w:pPr>
      <w:r>
        <w:rPr>
          <w:rFonts w:hint="eastAsia" w:ascii="微软雅黑" w:hAnsi="微软雅黑" w:eastAsia="微软雅黑" w:cs="微软雅黑"/>
          <w:i w:val="0"/>
          <w:iCs w:val="0"/>
          <w:caps w:val="0"/>
          <w:spacing w:val="8"/>
          <w:sz w:val="22"/>
          <w:szCs w:val="22"/>
          <w:shd w:val="clear" w:fill="FFFFFF"/>
          <w:lang w:val="en-US" w:eastAsia="zh-CN"/>
        </w:rPr>
        <w:drawing>
          <wp:anchor distT="0" distB="0" distL="114300" distR="114300" simplePos="0" relativeHeight="251693056" behindDoc="0" locked="0" layoutInCell="1" allowOverlap="1">
            <wp:simplePos x="0" y="0"/>
            <wp:positionH relativeFrom="column">
              <wp:posOffset>304800</wp:posOffset>
            </wp:positionH>
            <wp:positionV relativeFrom="paragraph">
              <wp:posOffset>100965</wp:posOffset>
            </wp:positionV>
            <wp:extent cx="4739005" cy="3554730"/>
            <wp:effectExtent l="0" t="0" r="4445" b="7620"/>
            <wp:wrapNone/>
            <wp:docPr id="41" name="图片 41" descr="c6220c71d6b2d946414bdcd7c9fc4d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6220c71d6b2d946414bdcd7c9fc4d8b"/>
                    <pic:cNvPicPr>
                      <a:picLocks noChangeAspect="1"/>
                    </pic:cNvPicPr>
                  </pic:nvPicPr>
                  <pic:blipFill>
                    <a:blip r:embed="rId49"/>
                    <a:stretch>
                      <a:fillRect/>
                    </a:stretch>
                  </pic:blipFill>
                  <pic:spPr>
                    <a:xfrm>
                      <a:off x="0" y="0"/>
                      <a:ext cx="4739005" cy="3554730"/>
                    </a:xfrm>
                    <a:prstGeom prst="rect">
                      <a:avLst/>
                    </a:prstGeom>
                  </pic:spPr>
                </pic:pic>
              </a:graphicData>
            </a:graphic>
          </wp:anchor>
        </w:drawing>
      </w:r>
    </w:p>
    <w:p>
      <w:pPr>
        <w:rPr>
          <w:rFonts w:hint="eastAsia" w:ascii="微软雅黑" w:hAnsi="微软雅黑" w:eastAsia="微软雅黑" w:cs="微软雅黑"/>
          <w:i w:val="0"/>
          <w:iCs w:val="0"/>
          <w:caps w:val="0"/>
          <w:color w:val="000000"/>
          <w:spacing w:val="15"/>
          <w:sz w:val="21"/>
          <w:szCs w:val="21"/>
          <w:shd w:val="clear" w:fill="FFFFFF"/>
          <w:lang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pStyle w:val="6"/>
      </w:pPr>
    </w:p>
    <w:p>
      <w:pPr>
        <w:pStyle w:val="6"/>
      </w:pPr>
    </w:p>
    <w:p>
      <w:pPr>
        <w:pStyle w:val="6"/>
        <w:jc w:val="center"/>
        <w:rPr>
          <w:rFonts w:hint="default" w:eastAsia="宋体"/>
          <w:lang w:val="en-US" w:eastAsia="zh-CN"/>
        </w:rPr>
      </w:pPr>
      <w:bookmarkStart w:id="162" w:name="_Toc12350"/>
      <w:r>
        <w:t xml:space="preserve">图 </w:t>
      </w:r>
      <w:r>
        <w:fldChar w:fldCharType="begin"/>
      </w:r>
      <w:r>
        <w:instrText xml:space="preserve"> SEQ 图 \* ARABIC </w:instrText>
      </w:r>
      <w:r>
        <w:fldChar w:fldCharType="separate"/>
      </w:r>
      <w:r>
        <w:t>37</w:t>
      </w:r>
      <w:r>
        <w:fldChar w:fldCharType="end"/>
      </w:r>
      <w:bookmarkStart w:id="163" w:name="_Toc22680"/>
      <w:r>
        <w:rPr>
          <w:rFonts w:hint="eastAsia"/>
          <w:lang w:eastAsia="zh-CN"/>
        </w:rPr>
        <w:t xml:space="preserve">  太湖创意职业技术学院青年学习社开展主题学习感悟活动现场</w:t>
      </w:r>
      <w:r>
        <w:rPr>
          <w:rFonts w:hint="eastAsia"/>
          <w:lang w:val="en-US" w:eastAsia="zh-CN"/>
        </w:rPr>
        <w:t>一</w:t>
      </w:r>
      <w:bookmarkEnd w:id="162"/>
      <w:bookmarkEnd w:id="163"/>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r>
        <w:rPr>
          <w:rFonts w:hint="eastAsia" w:ascii="微软雅黑" w:hAnsi="微软雅黑" w:eastAsia="微软雅黑" w:cs="微软雅黑"/>
          <w:i w:val="0"/>
          <w:iCs w:val="0"/>
          <w:caps w:val="0"/>
          <w:spacing w:val="8"/>
          <w:sz w:val="22"/>
          <w:szCs w:val="22"/>
          <w:shd w:val="clear" w:fill="FFFFFF"/>
          <w:lang w:val="en-US" w:eastAsia="zh-CN"/>
        </w:rPr>
        <w:drawing>
          <wp:anchor distT="0" distB="0" distL="114300" distR="114300" simplePos="0" relativeHeight="251694080" behindDoc="0" locked="0" layoutInCell="1" allowOverlap="1">
            <wp:simplePos x="0" y="0"/>
            <wp:positionH relativeFrom="column">
              <wp:posOffset>193040</wp:posOffset>
            </wp:positionH>
            <wp:positionV relativeFrom="paragraph">
              <wp:posOffset>61595</wp:posOffset>
            </wp:positionV>
            <wp:extent cx="4780915" cy="3586480"/>
            <wp:effectExtent l="0" t="0" r="635" b="13970"/>
            <wp:wrapNone/>
            <wp:docPr id="42" name="图片 42" descr="0b78c3f485687142161ee982e1bebb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b78c3f485687142161ee982e1bebba6"/>
                    <pic:cNvPicPr>
                      <a:picLocks noChangeAspect="1"/>
                    </pic:cNvPicPr>
                  </pic:nvPicPr>
                  <pic:blipFill>
                    <a:blip r:embed="rId50"/>
                    <a:stretch>
                      <a:fillRect/>
                    </a:stretch>
                  </pic:blipFill>
                  <pic:spPr>
                    <a:xfrm>
                      <a:off x="0" y="0"/>
                      <a:ext cx="4780915" cy="3586480"/>
                    </a:xfrm>
                    <a:prstGeom prst="rect">
                      <a:avLst/>
                    </a:prstGeom>
                  </pic:spPr>
                </pic:pic>
              </a:graphicData>
            </a:graphic>
          </wp:anchor>
        </w:drawing>
      </w: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rPr>
          <w:rFonts w:hint="default" w:eastAsia="宋体"/>
          <w:lang w:val="en-US" w:eastAsia="zh-CN"/>
        </w:rPr>
      </w:pPr>
      <w:bookmarkStart w:id="164" w:name="_Toc6405"/>
      <w:r>
        <w:t xml:space="preserve">图 </w:t>
      </w:r>
      <w:r>
        <w:fldChar w:fldCharType="begin"/>
      </w:r>
      <w:r>
        <w:instrText xml:space="preserve"> SEQ 图 \* ARABIC </w:instrText>
      </w:r>
      <w:r>
        <w:fldChar w:fldCharType="separate"/>
      </w:r>
      <w:r>
        <w:t>38</w:t>
      </w:r>
      <w:r>
        <w:fldChar w:fldCharType="end"/>
      </w:r>
      <w:bookmarkStart w:id="165" w:name="_Toc715"/>
      <w:r>
        <w:rPr>
          <w:rFonts w:hint="eastAsia"/>
          <w:lang w:eastAsia="zh-CN"/>
        </w:rPr>
        <w:t xml:space="preserve">  太湖创意职业技术学院青年学习社开展主题学习感悟活动现场</w:t>
      </w:r>
      <w:r>
        <w:rPr>
          <w:rFonts w:hint="eastAsia"/>
          <w:lang w:val="en-US" w:eastAsia="zh-CN"/>
        </w:rPr>
        <w:t>二</w:t>
      </w:r>
      <w:bookmarkEnd w:id="164"/>
      <w:bookmarkEnd w:id="165"/>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66" w:name="_Toc6504"/>
      <w:r>
        <w:rPr>
          <w:rFonts w:hint="eastAsia" w:ascii="宋体" w:hAnsi="宋体" w:cs="宋体"/>
          <w:b/>
          <w:bCs/>
          <w:sz w:val="28"/>
          <w:szCs w:val="28"/>
          <w:lang w:val="en-US" w:eastAsia="zh-CN"/>
        </w:rPr>
        <w:t>4.3传承中华优秀传统文化</w:t>
      </w:r>
      <w:bookmarkEnd w:id="166"/>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学校通过多种方式将传承各行各业的优秀文化和行业精神融入办学实践中，以下是具体的做法：</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（1）打造校园文化：校园文化是学校的灵魂，高职院校注重打造具有行业特色和职业特色的校园文化，通过校风、校训、校歌等方式，传递行业文化和职业精神。</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（2）凝练学校精神：学校精神是学校的核心价值体系，高职院校注重凝练具有行业特色和职业特色的学校精神，将行业文化和职业精神融入其中，形成独特的价值观和行为准则。</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（3）开设特色课程：学校注重开设具有行业特色和职业特色的课程，将行业文化和职业精神融入其中，通过课堂教学的方式，引导学生了解和掌握相关知识和技能。</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（4）行业文化进校园：将行业文化引入校园，通过开展行业文化活动、邀请行业专家进校园等方式，让学生了解和感受行业的优秀文化和精神。</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（5）校企合作实践教育：注重与企业合作，通过校企合作的方式，让学生了解和掌握相关行业的技能和文化，同时也能将行业文化和职业精神融入办学实践中。</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学校将地方历史文化、民俗文化、地方文学艺术等特色文化融入教育教学，可以采取以下措施：</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（1）开设特色课程：学校开设地方历史文化、民俗文化、地方文学艺术等特色课程，将这些特色文化融入课堂教学中。这些课程可以由校内教师或聘请当地文化专家授课，引导学生了解和掌握地方特色文化。</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（2）开发校本教材：学校组织教师和当地文化专家，开发具有地方特色的校本教材。这些教材可以包括地方历史、民俗、文学、艺术等方面的内容，通过文字和图片的方式，将这些特色文化传递给学生。</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建立实践教学基地：学校与当地文化机构合作，建立实践教学基地。例如，与博物馆、文化馆、美术馆等合作，让学生实地参观和学习地方特色文化。同时，学校还可以邀请当地文化传承人或艺人来校进行现场教学，让学生亲身感受地方文化的魅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（4）开展文化体验活动：学校组织学生开展各种文化体验活动，例如地方戏曲表演、传统手工艺制作、地方民俗文化实践等。这些活动可以帮助学生深入了解地方特色文化，提高他们的实践能力和综合素质。</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楷体" w:hAnsi="楷体" w:eastAsia="楷体" w:cs="宋体"/>
          <w:bCs/>
          <w:kern w:val="2"/>
          <w:sz w:val="24"/>
          <w:szCs w:val="24"/>
          <w:lang w:val="en-US" w:eastAsia="zh-CN" w:bidi="ar-SA"/>
        </w:rPr>
      </w:pPr>
      <w:r>
        <w:rPr>
          <w:rFonts w:hint="eastAsia" w:ascii="宋体" w:hAnsi="宋体" w:cs="宋体"/>
          <w:sz w:val="28"/>
          <w:szCs w:val="28"/>
          <w:lang w:val="en-US" w:eastAsia="zh-CN"/>
        </w:rPr>
        <w:t>（5）发挥网络平台作用：学校利用网络平台，例如校园网站、微信公众号等，宣传和推广地方特色文化。可以开设特色文化栏目，发布相关文章、图片和视频等内容，吸引更多的学生和读者了解和关注地方文化。</w:t>
      </w: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pPr>
    </w:p>
    <w:p>
      <w:pPr>
        <w:pStyle w:val="6"/>
        <w:spacing w:before="0" w:after="0" w:line="240" w:lineRule="auto"/>
        <w:rPr>
          <w:rFonts w:hint="eastAsia" w:ascii="楷体" w:hAnsi="楷体" w:eastAsia="楷体" w:cs="宋体"/>
          <w:bCs/>
          <w:kern w:val="2"/>
          <w:sz w:val="24"/>
          <w:szCs w:val="24"/>
          <w:lang w:val="en-US" w:eastAsia="zh-CN" w:bidi="ar-SA"/>
        </w:rPr>
      </w:pPr>
      <w:bookmarkStart w:id="167" w:name="_Toc13720"/>
      <w:r>
        <w:t xml:space="preserve">案例 4- </w:t>
      </w:r>
      <w:r>
        <w:fldChar w:fldCharType="begin"/>
      </w:r>
      <w:r>
        <w:instrText xml:space="preserve"> SEQ 案例_4- \* ARABIC </w:instrText>
      </w:r>
      <w:r>
        <w:fldChar w:fldCharType="separate"/>
      </w:r>
      <w:r>
        <w:t>5</w:t>
      </w:r>
      <w:r>
        <w:fldChar w:fldCharType="end"/>
      </w:r>
      <w:r>
        <w:rPr>
          <w:rFonts w:hint="eastAsia"/>
          <w:lang w:eastAsia="zh-CN"/>
        </w:rPr>
        <w:t xml:space="preserve">  【太湖创意职业技术学院开展创意设计展】</w:t>
      </w:r>
      <w:r>
        <w:rPr>
          <w:rFonts w:hint="eastAsia" w:ascii="楷体" w:hAnsi="楷体" w:eastAsia="楷体" w:cs="宋体"/>
          <w:bCs/>
          <w:kern w:val="2"/>
          <w:sz w:val="24"/>
          <w:szCs w:val="24"/>
          <w:lang w:val="en-US" w:eastAsia="zh-CN" w:bidi="ar-SA"/>
        </w:rPr>
        <w:t>为进一步加强校园文化建设，彰显校园文化魅力，提升广大师生的文化艺术修养，促进学生个性发展，营造青春洋溢、积极向上、健康文明的校园文化氛围，全面实施素质教育。学校组织开展了职业教育活动周系列活动：“设计让生活更美好”艺术设计学院创意设计展。以在校学生为创作主体，参展作品包括模型设计、动态插插图、交互设计等多个门类。</w:t>
      </w:r>
      <w:bookmarkEnd w:id="167"/>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微软雅黑" w:hAnsi="微软雅黑" w:eastAsia="微软雅黑" w:cs="微软雅黑"/>
          <w:i w:val="0"/>
          <w:iCs w:val="0"/>
          <w:caps w:val="0"/>
          <w:color w:val="656565"/>
          <w:spacing w:val="30"/>
          <w:sz w:val="22"/>
          <w:szCs w:val="22"/>
          <w:shd w:val="clear" w:fill="FFFFFF"/>
          <w:lang w:val="en-US" w:eastAsia="zh-CN"/>
        </w:rPr>
      </w:pPr>
      <w:r>
        <w:rPr>
          <w:rFonts w:hint="eastAsia" w:ascii="微软雅黑" w:hAnsi="微软雅黑" w:eastAsia="微软雅黑" w:cs="微软雅黑"/>
          <w:i w:val="0"/>
          <w:iCs w:val="0"/>
          <w:caps w:val="0"/>
          <w:color w:val="656565"/>
          <w:spacing w:val="30"/>
          <w:sz w:val="22"/>
          <w:szCs w:val="22"/>
          <w:shd w:val="clear" w:fill="FFFFFF"/>
          <w:lang w:val="en-US" w:eastAsia="zh-CN"/>
        </w:rPr>
        <w:drawing>
          <wp:anchor distT="0" distB="0" distL="114300" distR="114300" simplePos="0" relativeHeight="251708416" behindDoc="0" locked="0" layoutInCell="1" allowOverlap="1">
            <wp:simplePos x="0" y="0"/>
            <wp:positionH relativeFrom="column">
              <wp:posOffset>348615</wp:posOffset>
            </wp:positionH>
            <wp:positionV relativeFrom="paragraph">
              <wp:posOffset>172720</wp:posOffset>
            </wp:positionV>
            <wp:extent cx="4702810" cy="3527425"/>
            <wp:effectExtent l="0" t="0" r="2540" b="15875"/>
            <wp:wrapNone/>
            <wp:docPr id="57" name="图片 57" descr="84758b6b9c559401ee62dff02f94a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84758b6b9c559401ee62dff02f94ae41"/>
                    <pic:cNvPicPr>
                      <a:picLocks noChangeAspect="1"/>
                    </pic:cNvPicPr>
                  </pic:nvPicPr>
                  <pic:blipFill>
                    <a:blip r:embed="rId51"/>
                    <a:stretch>
                      <a:fillRect/>
                    </a:stretch>
                  </pic:blipFill>
                  <pic:spPr>
                    <a:xfrm>
                      <a:off x="0" y="0"/>
                      <a:ext cx="4702810" cy="3527425"/>
                    </a:xfrm>
                    <a:prstGeom prst="rect">
                      <a:avLst/>
                    </a:prstGeom>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jc w:val="center"/>
        <w:textAlignment w:val="auto"/>
        <w:rPr>
          <w:rFonts w:hint="eastAsia" w:ascii="微软雅黑" w:hAnsi="微软雅黑" w:eastAsia="宋体" w:cs="微软雅黑"/>
          <w:i w:val="0"/>
          <w:iCs w:val="0"/>
          <w:caps w:val="0"/>
          <w:color w:val="656565"/>
          <w:spacing w:val="30"/>
          <w:sz w:val="22"/>
          <w:szCs w:val="22"/>
          <w:shd w:val="clear" w:fill="FFFFFF"/>
          <w:lang w:val="en-US" w:eastAsia="zh-CN"/>
        </w:rPr>
      </w:pPr>
      <w:bookmarkStart w:id="168" w:name="_Toc26496"/>
      <w:r>
        <w:t xml:space="preserve">图 </w:t>
      </w:r>
      <w:r>
        <w:fldChar w:fldCharType="begin"/>
      </w:r>
      <w:r>
        <w:instrText xml:space="preserve"> SEQ 图 \* ARABIC </w:instrText>
      </w:r>
      <w:r>
        <w:fldChar w:fldCharType="separate"/>
      </w:r>
      <w:r>
        <w:t>39</w:t>
      </w:r>
      <w:r>
        <w:fldChar w:fldCharType="end"/>
      </w:r>
      <w:bookmarkStart w:id="169" w:name="_Toc30123"/>
      <w:r>
        <w:rPr>
          <w:rFonts w:hint="eastAsia"/>
          <w:lang w:eastAsia="zh-CN"/>
        </w:rPr>
        <w:t xml:space="preserve">  太湖创意职业技术学院开展创意设计展优秀作品1</w:t>
      </w:r>
      <w:bookmarkEnd w:id="168"/>
      <w:bookmarkEnd w:id="169"/>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微软雅黑" w:hAnsi="微软雅黑" w:eastAsia="微软雅黑" w:cs="微软雅黑"/>
          <w:i w:val="0"/>
          <w:iCs w:val="0"/>
          <w:caps w:val="0"/>
          <w:color w:val="656565"/>
          <w:spacing w:val="30"/>
          <w:sz w:val="22"/>
          <w:szCs w:val="22"/>
          <w:shd w:val="clear" w:fill="FFFFFF"/>
          <w:lang w:val="en-US" w:eastAsia="zh-CN"/>
        </w:rPr>
      </w:pPr>
      <w:r>
        <w:rPr>
          <w:rFonts w:hint="eastAsia" w:ascii="微软雅黑" w:hAnsi="微软雅黑" w:eastAsia="微软雅黑" w:cs="微软雅黑"/>
          <w:i w:val="0"/>
          <w:iCs w:val="0"/>
          <w:caps w:val="0"/>
          <w:color w:val="656565"/>
          <w:spacing w:val="30"/>
          <w:sz w:val="22"/>
          <w:szCs w:val="22"/>
          <w:shd w:val="clear" w:fill="FFFFFF"/>
          <w:lang w:val="en-US" w:eastAsia="zh-CN"/>
        </w:rPr>
        <w:drawing>
          <wp:anchor distT="0" distB="0" distL="114300" distR="114300" simplePos="0" relativeHeight="251709440" behindDoc="0" locked="0" layoutInCell="1" allowOverlap="1">
            <wp:simplePos x="0" y="0"/>
            <wp:positionH relativeFrom="column">
              <wp:posOffset>374015</wp:posOffset>
            </wp:positionH>
            <wp:positionV relativeFrom="paragraph">
              <wp:posOffset>50800</wp:posOffset>
            </wp:positionV>
            <wp:extent cx="4676140" cy="3507105"/>
            <wp:effectExtent l="0" t="0" r="10160" b="17145"/>
            <wp:wrapNone/>
            <wp:docPr id="58" name="图片 58" descr="23649ea906dbd1670da588c12c68cb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3649ea906dbd1670da588c12c68cb35"/>
                    <pic:cNvPicPr>
                      <a:picLocks noChangeAspect="1"/>
                    </pic:cNvPicPr>
                  </pic:nvPicPr>
                  <pic:blipFill>
                    <a:blip r:embed="rId52"/>
                    <a:stretch>
                      <a:fillRect/>
                    </a:stretch>
                  </pic:blipFill>
                  <pic:spPr>
                    <a:xfrm>
                      <a:off x="0" y="0"/>
                      <a:ext cx="4676140" cy="3507105"/>
                    </a:xfrm>
                    <a:prstGeom prst="rect">
                      <a:avLst/>
                    </a:prstGeom>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jc w:val="center"/>
        <w:textAlignment w:val="auto"/>
        <w:rPr>
          <w:rFonts w:hint="eastAsia" w:ascii="微软雅黑" w:hAnsi="微软雅黑" w:eastAsia="宋体" w:cs="微软雅黑"/>
          <w:i w:val="0"/>
          <w:iCs w:val="0"/>
          <w:caps w:val="0"/>
          <w:color w:val="656565"/>
          <w:spacing w:val="30"/>
          <w:sz w:val="22"/>
          <w:szCs w:val="22"/>
          <w:shd w:val="clear" w:fill="FFFFFF"/>
          <w:lang w:val="en-US" w:eastAsia="zh-CN"/>
        </w:rPr>
      </w:pPr>
      <w:bookmarkStart w:id="170" w:name="_Toc14422"/>
      <w:r>
        <w:t xml:space="preserve">图 </w:t>
      </w:r>
      <w:r>
        <w:fldChar w:fldCharType="begin"/>
      </w:r>
      <w:r>
        <w:instrText xml:space="preserve"> SEQ 图 \* ARABIC </w:instrText>
      </w:r>
      <w:r>
        <w:fldChar w:fldCharType="separate"/>
      </w:r>
      <w:r>
        <w:t>40</w:t>
      </w:r>
      <w:r>
        <w:fldChar w:fldCharType="end"/>
      </w:r>
      <w:bookmarkStart w:id="171" w:name="_Toc22394"/>
      <w:r>
        <w:rPr>
          <w:rFonts w:hint="eastAsia"/>
          <w:lang w:eastAsia="zh-CN"/>
        </w:rPr>
        <w:t xml:space="preserve">  太湖创意职业技术学院开展创意设计展优秀作品2</w:t>
      </w:r>
      <w:bookmarkEnd w:id="170"/>
      <w:bookmarkEnd w:id="171"/>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outlineLvl w:val="0"/>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bookmarkStart w:id="172" w:name="_Toc27153"/>
      <w:r>
        <w:rPr>
          <w:rFonts w:hint="eastAsia" w:ascii="宋体" w:hAnsi="宋体" w:cs="宋体"/>
          <w:b/>
          <w:bCs/>
          <w:sz w:val="28"/>
          <w:szCs w:val="28"/>
          <w:lang w:val="en-US" w:eastAsia="zh-CN"/>
        </w:rPr>
        <w:t>5.国际合作</w:t>
      </w:r>
      <w:bookmarkEnd w:id="172"/>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73" w:name="_Toc18620"/>
      <w:r>
        <w:rPr>
          <w:rFonts w:hint="eastAsia" w:ascii="宋体" w:hAnsi="宋体" w:cs="宋体"/>
          <w:b/>
          <w:bCs/>
          <w:sz w:val="28"/>
          <w:szCs w:val="28"/>
          <w:lang w:val="en-US" w:eastAsia="zh-CN"/>
        </w:rPr>
        <w:t>5.1留学江苏</w:t>
      </w:r>
      <w:bookmarkEnd w:id="173"/>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学校暂未开展接收海外留学生的项目。</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74" w:name="_Toc31224"/>
      <w:r>
        <w:rPr>
          <w:rFonts w:hint="eastAsia" w:ascii="宋体" w:hAnsi="宋体" w:cs="宋体"/>
          <w:b/>
          <w:bCs/>
          <w:sz w:val="28"/>
          <w:szCs w:val="28"/>
          <w:lang w:val="en-US" w:eastAsia="zh-CN"/>
        </w:rPr>
        <w:t>5.2合作办学</w:t>
      </w:r>
      <w:bookmarkEnd w:id="174"/>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default" w:ascii="宋体" w:hAnsi="宋体" w:cs="宋体"/>
          <w:sz w:val="28"/>
          <w:szCs w:val="28"/>
          <w:lang w:val="en-US" w:eastAsia="zh-CN"/>
        </w:rPr>
        <w:t>随着全球化的发展，中外合作办学已经成为高职教育的一个重要组成部分。</w:t>
      </w:r>
      <w:r>
        <w:rPr>
          <w:rFonts w:hint="eastAsia" w:ascii="宋体" w:hAnsi="宋体" w:cs="宋体"/>
          <w:sz w:val="28"/>
          <w:szCs w:val="28"/>
          <w:lang w:val="en-US" w:eastAsia="zh-CN"/>
        </w:rPr>
        <w:t>学校虽暂未实质性开展中外合作办学项目，但一直在积极探索中外合作办学的良好渠道，关于保证</w:t>
      </w:r>
      <w:r>
        <w:rPr>
          <w:rFonts w:hint="default" w:ascii="宋体" w:hAnsi="宋体" w:cs="宋体"/>
          <w:sz w:val="28"/>
          <w:szCs w:val="28"/>
          <w:lang w:val="en-US" w:eastAsia="zh-CN"/>
        </w:rPr>
        <w:t>中外合作办学的质量，</w:t>
      </w:r>
      <w:r>
        <w:rPr>
          <w:rFonts w:hint="eastAsia" w:ascii="宋体" w:hAnsi="宋体" w:cs="宋体"/>
          <w:sz w:val="28"/>
          <w:szCs w:val="28"/>
          <w:lang w:val="en-US" w:eastAsia="zh-CN"/>
        </w:rPr>
        <w:t>学校有以下几点思考</w:t>
      </w:r>
      <w:r>
        <w:rPr>
          <w:rFonts w:hint="default" w:ascii="宋体" w:hAnsi="宋体" w:cs="宋体"/>
          <w:sz w:val="28"/>
          <w:szCs w:val="28"/>
          <w:lang w:val="en-US" w:eastAsia="zh-CN"/>
        </w:rPr>
        <w:t>：</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（1）</w:t>
      </w:r>
      <w:r>
        <w:rPr>
          <w:rFonts w:hint="default" w:ascii="宋体" w:hAnsi="宋体" w:cs="宋体"/>
          <w:sz w:val="28"/>
          <w:szCs w:val="28"/>
          <w:lang w:val="en-US" w:eastAsia="zh-CN"/>
        </w:rPr>
        <w:t>优化课程设置</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w:t>
      </w:r>
      <w:r>
        <w:rPr>
          <w:rFonts w:hint="default" w:ascii="宋体" w:hAnsi="宋体" w:cs="宋体"/>
          <w:sz w:val="28"/>
          <w:szCs w:val="28"/>
          <w:lang w:val="en-US" w:eastAsia="zh-CN"/>
        </w:rPr>
        <w:t>应该根据中外合作办学的培养目标和市场需求，结合国外先进的教学理念和课程设置，优化课程体系，确保中外合作办学的教学内容与市场需求紧密结合。同时，应该注重课程内容的更新和教学方法的改革，提高中外合作办学的质量和吸引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（2）</w:t>
      </w:r>
      <w:r>
        <w:rPr>
          <w:rFonts w:hint="default" w:ascii="宋体" w:hAnsi="宋体" w:cs="宋体"/>
          <w:sz w:val="28"/>
          <w:szCs w:val="28"/>
          <w:lang w:val="en-US" w:eastAsia="zh-CN"/>
        </w:rPr>
        <w:t>加强师资培训</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w:t>
      </w:r>
      <w:r>
        <w:rPr>
          <w:rFonts w:hint="default" w:ascii="宋体" w:hAnsi="宋体" w:cs="宋体"/>
          <w:sz w:val="28"/>
          <w:szCs w:val="28"/>
          <w:lang w:val="en-US" w:eastAsia="zh-CN"/>
        </w:rPr>
        <w:t>应该加强对中外合作办学教师的培训，提高教师的专业素养和教学水平。可以通过选派教师到国内外高校进修学习、参加学术会议和教研活动等方式，提高教师的专业水平和教学能力。同时，也可以引进国内外优秀的教师和学者，为中外合作办学提供更优质的教学资源。</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（3）</w:t>
      </w:r>
      <w:r>
        <w:rPr>
          <w:rFonts w:hint="default" w:ascii="宋体" w:hAnsi="宋体" w:cs="宋体"/>
          <w:sz w:val="28"/>
          <w:szCs w:val="28"/>
          <w:lang w:val="en-US" w:eastAsia="zh-CN"/>
        </w:rPr>
        <w:t>强化教学管理</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w:t>
      </w:r>
      <w:r>
        <w:rPr>
          <w:rFonts w:hint="default" w:ascii="宋体" w:hAnsi="宋体" w:cs="宋体"/>
          <w:sz w:val="28"/>
          <w:szCs w:val="28"/>
          <w:lang w:val="en-US" w:eastAsia="zh-CN"/>
        </w:rPr>
        <w:t>应该加强对中外合作办学的教学管理，建立健全的教学管理制度和监控机制。可以建立专门的中外合作办学管理部门，负责教学计划的制定、教学质量的监控、学生管理等方面的工作。同时，应该注重与国外合作院校的沟通与协调，确保中外合作办学的教学质量和教育水平的同步提升。</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（4）</w:t>
      </w:r>
      <w:r>
        <w:rPr>
          <w:rFonts w:hint="default" w:ascii="宋体" w:hAnsi="宋体" w:cs="宋体"/>
          <w:sz w:val="28"/>
          <w:szCs w:val="28"/>
          <w:lang w:val="en-US" w:eastAsia="zh-CN"/>
        </w:rPr>
        <w:t>加强学生管理</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w:t>
      </w:r>
      <w:r>
        <w:rPr>
          <w:rFonts w:hint="default" w:ascii="宋体" w:hAnsi="宋体" w:cs="宋体"/>
          <w:sz w:val="28"/>
          <w:szCs w:val="28"/>
          <w:lang w:val="en-US" w:eastAsia="zh-CN"/>
        </w:rPr>
        <w:t>应该加强对中外合作办学的学生管理，建立健全的学生管理制度和评价体系。可以建立专门的学生管理部门，负责学生的日常管理、心理辅导、职业规划等方面的工作。同时，应该注重与国外合作院校的沟通与协调，确保中外合作办学的学生管理和服务水平的同步提升。</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（5）</w:t>
      </w:r>
      <w:r>
        <w:rPr>
          <w:rFonts w:hint="default" w:ascii="宋体" w:hAnsi="宋体" w:cs="宋体"/>
          <w:sz w:val="28"/>
          <w:szCs w:val="28"/>
          <w:lang w:val="en-US" w:eastAsia="zh-CN"/>
        </w:rPr>
        <w:t>推进校企合作</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w:t>
      </w:r>
      <w:r>
        <w:rPr>
          <w:rFonts w:hint="default" w:ascii="宋体" w:hAnsi="宋体" w:cs="宋体"/>
          <w:sz w:val="28"/>
          <w:szCs w:val="28"/>
          <w:lang w:val="en-US" w:eastAsia="zh-CN"/>
        </w:rPr>
        <w:t>应该积极推进校企合作，与国内外企业开展深度合作，为中外合作办学提供更广阔的实践平台和就业机会。可以通过与企业合作开展实践教学、共同开发课程、提供实习机会等方式，增强学生的实践能力和就业竞争力。同时，也可以邀请企业参与教学计划的制定和人才培养方案的修订，使中外合作办学更加贴近市场需求。</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（6）</w:t>
      </w:r>
      <w:r>
        <w:rPr>
          <w:rFonts w:hint="default" w:ascii="宋体" w:hAnsi="宋体" w:cs="宋体"/>
          <w:sz w:val="28"/>
          <w:szCs w:val="28"/>
          <w:lang w:val="en-US" w:eastAsia="zh-CN"/>
        </w:rPr>
        <w:t>扩大国际交流</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w:t>
      </w:r>
      <w:r>
        <w:rPr>
          <w:rFonts w:hint="default" w:ascii="宋体" w:hAnsi="宋体" w:cs="宋体"/>
          <w:sz w:val="28"/>
          <w:szCs w:val="28"/>
          <w:lang w:val="en-US" w:eastAsia="zh-CN"/>
        </w:rPr>
        <w:t>应该积极扩大国际交流，为中外合作办学提供更广阔的发展空间和资源。可以通过与国外高校开展学生交流、教师互访、学术研讨等方式，增强学校的国际影响力和竞争力。同时，也可以邀请国外专家和学者来校讲学和交流，为中外合作办学提供更丰富的教学资源和学术支持。</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（7）</w:t>
      </w:r>
      <w:r>
        <w:rPr>
          <w:rFonts w:hint="default" w:ascii="宋体" w:hAnsi="宋体" w:cs="宋体"/>
          <w:sz w:val="28"/>
          <w:szCs w:val="28"/>
          <w:lang w:val="en-US" w:eastAsia="zh-CN"/>
        </w:rPr>
        <w:t>提升信息化水平</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w:t>
      </w:r>
      <w:r>
        <w:rPr>
          <w:rFonts w:hint="default" w:ascii="宋体" w:hAnsi="宋体" w:cs="宋体"/>
          <w:sz w:val="28"/>
          <w:szCs w:val="28"/>
          <w:lang w:val="en-US" w:eastAsia="zh-CN"/>
        </w:rPr>
        <w:t>应该积极提升信息化水平，为中外合作办学提供更高效的教学和管理手段。可以通过建设数字化校园、推广在线教育、开发信息化管理系统等方式，提高中外合作办学的管理效率和教学质量。同时，也可以利用信息化手段加强与国外合作院校的沟通和协作，实现资源共享和优势互补。</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（8）</w:t>
      </w:r>
      <w:r>
        <w:rPr>
          <w:rFonts w:hint="default" w:ascii="宋体" w:hAnsi="宋体" w:cs="宋体"/>
          <w:sz w:val="28"/>
          <w:szCs w:val="28"/>
          <w:lang w:val="en-US" w:eastAsia="zh-CN"/>
        </w:rPr>
        <w:t>关注学生需求</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学校</w:t>
      </w:r>
      <w:r>
        <w:rPr>
          <w:rFonts w:hint="default" w:ascii="宋体" w:hAnsi="宋体" w:cs="宋体"/>
          <w:sz w:val="28"/>
          <w:szCs w:val="28"/>
          <w:lang w:val="en-US" w:eastAsia="zh-CN"/>
        </w:rPr>
        <w:t>应该关注学生的需求和反馈，为中外合作办学提供更优质的教育服务。可以通过定期开展学生满意度调查、设立学生意见箱、建立学生权益保障机制等方式，了解学生的需求和反馈，及时调整教学和管理策略，提高中外合作办学的质量和满意度。</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75" w:name="_Toc249"/>
      <w:r>
        <w:rPr>
          <w:rFonts w:hint="eastAsia" w:ascii="宋体" w:hAnsi="宋体" w:cs="宋体"/>
          <w:b/>
          <w:bCs/>
          <w:sz w:val="28"/>
          <w:szCs w:val="28"/>
          <w:lang w:val="en-US" w:eastAsia="zh-CN"/>
        </w:rPr>
        <w:t>5.3交流互鉴</w:t>
      </w:r>
      <w:bookmarkEnd w:id="175"/>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学校在创新国际交流与合作机制、推动全球职业教育交流合作以及注重学生国际化素养培养方面仍在不断探索阶段，学校认为可以采取以下措施：</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（1）建立国际交流与合作机制：可以与国外高校、企业、行业协会等建立广泛的联系和合作机制，开展学生交流、教师互访、学术研讨等活动，推动职业教育领域的国际交流与合作。</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（2）参与国际职业教育组织：可以积极参与国际职业教育组织，例如联合国教科文组织、世界银行等，加强与国际组织的合作，推动全球职业教育的发展。</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（3）开设双语及特色课程：可以开设双语及特色课程，引进国外先进的教学模式和教学资源，提高教学质量和水平。同时，也可以开设具有中国特色的课程，向国际学生传播中华文化和思想。</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（4）风土人情和习俗礼仪教育：可以开设有关风土人情和习俗礼仪教育的课程，让学生了解不同国家和地区的文化差异和礼仪规范，提高跨文化交流的能力。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（5）研习论坛：可以举办各类研习论坛，邀请国内外专家学者、企业家等来校进行学术交流和研讨，让学生了解最新的学术动态和行业趋势。</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（6）参加国际性竞赛：可以组织学生参加各类国际性竞赛，例如世界技能大赛、全球创业挑战赛等，提高学生的国际竞争力和影响力。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（7）海外实习实训：高职院校可以与海外企业、机构等合作，安排学生前往海外实习实训，让学生体验不同的工作环境和文化氛围，提高跨文化适应能力。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（8）国际化素养培养：可以将国际化素养培养纳入人才培养方案，通过课程设置、实践活动等方式，培养学生的国际视野、跨文化交流能力、外语水平等国际化素养。</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default" w:ascii="宋体" w:hAnsi="宋体" w:cs="宋体"/>
          <w:b/>
          <w:bCs/>
          <w:sz w:val="28"/>
          <w:szCs w:val="28"/>
          <w:lang w:val="en-US" w:eastAsia="zh-CN"/>
        </w:rPr>
      </w:pPr>
      <w:bookmarkStart w:id="176" w:name="_Toc21635"/>
      <w:r>
        <w:rPr>
          <w:rFonts w:hint="eastAsia" w:ascii="宋体" w:hAnsi="宋体" w:cs="宋体"/>
          <w:b/>
          <w:bCs/>
          <w:sz w:val="28"/>
          <w:szCs w:val="28"/>
          <w:lang w:val="en-US" w:eastAsia="zh-CN"/>
        </w:rPr>
        <w:t>6.产教融合</w:t>
      </w:r>
      <w:bookmarkEnd w:id="176"/>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77" w:name="_Toc13871"/>
      <w:r>
        <w:rPr>
          <w:rFonts w:hint="eastAsia" w:ascii="宋体" w:hAnsi="宋体" w:cs="宋体"/>
          <w:b/>
          <w:bCs/>
          <w:sz w:val="28"/>
          <w:szCs w:val="28"/>
          <w:lang w:val="en-US" w:eastAsia="zh-CN"/>
        </w:rPr>
        <w:t>6.1机制共筑</w:t>
      </w:r>
      <w:bookmarkEnd w:id="177"/>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我国高等职业教育伴随着国民经济、社会、教育和科技快速增长， 呈现出蓬勃发展的良好态势，推动了各行各业新科技、新技术和新工艺的推广和运行，对高等教育大众化以及进入大众化阶段后和谐社会的发展做出了重要贡献，发挥了积极作用。但是我国高等职业教育发展也存在诸多问题，面临严峻挑战：诸如高等职业院校办学条件较差、“双师型”专业教师数量不足、教学质量不高、教育教学质量保障体系有待完善、学院教育与社会需求规格不相符合等问题，这些都严重制约高等职业教育进一步健康发展，因此院校亦迫切需要引进实力雄厚的企业进行产教融合、优势互补。</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 xml:space="preserve">正保远程教育为美国纽约证券交易所上市公司，于2000年成立，中华会计网校是正保远程教育旗下品牌网站，为我国财政系统培养了数百万名优秀的专业人才，被广大会计人员亲切地誉为“会计人的网上家园”。通过创建正保会计学院，加强会计教育内涵建设，提高会计教育质量。注重会计专业建设，加强会计教育教学改革，创新会计人才培养模式；打造优秀教学团队，优化师资人才梯队；凸现合作办学特色，扩大会计教育竞争能力；构建“智慧校园”“智慧课堂”“智慧教室”“智慧班级”等数字化信息平台，深化会计教学改革、提升学生综合职业素质和能胜力，促成社会对会计人才的需求。 </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2017年2月，由学校联合美国纽交所上市公司正保远程教育联合共建，依托正保远程教育及旗下中华会计网校深厚的行业底蕴和丰富的教学资源，共建正保会计学院。</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院与正保公司共同制定人才培养方案和教学计划，将“学历教育+职业教育+网络教育”融为一体，由网校联合会计学界知名专家学者打造优质教学资源，包括高清视频课程、教学资源库等，提供基于互联网的高校一体化教学平台和无线网络环境，在助力学院打破传统教学瓶颈的同时，搭建教师与学生、学院与企业、学生及企业之间的实践交流与就业渠道。</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78" w:name="_Toc31359"/>
      <w:r>
        <w:rPr>
          <w:rFonts w:hint="eastAsia" w:ascii="宋体" w:hAnsi="宋体" w:cs="宋体"/>
          <w:b/>
          <w:bCs/>
          <w:sz w:val="28"/>
          <w:szCs w:val="28"/>
          <w:lang w:val="en-US" w:eastAsia="zh-CN"/>
        </w:rPr>
        <w:t>6.2资源共建</w:t>
      </w:r>
      <w:bookmarkEnd w:id="178"/>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通过创建正保会计学院，加强会计教育内涵建设，提高会计教育质量。注重会计专业建设，加强会计教育教学改革，创新会计人才培养模式；创新应用先进的“高校一体化教学平台”，大大提升了学院教学信息化水平。主要做法包括：</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（1）共同制定人才培养方案和教学计划，由正保公司具体实施，学院指导、监管与考核</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根据对财会职业标准所进行的分析，确定学院人才培养目标及人才培养模式，建立以“典型工作任务为载体，提高综合职业能力”为核心的课程体系，根据社会需求和正保公司优势，强化实践教学，将“学历教育＋职业教育＋网络教育”融为一体，由正保联合会计学界知名专家学者打造优质教学资源，包括高清视频课程、教学资源库等，提供基于互联网的专业共建教学平台和无线网络环境，实施教学计划，学院监督教学计划的实施，确保教学质量。</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（2）创新应用先进的“高校一体化教学平台”，大大提升了学院教学信息化水平</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sz w:val="28"/>
          <w:szCs w:val="28"/>
        </w:rPr>
        <w:drawing>
          <wp:anchor distT="0" distB="0" distL="0" distR="0" simplePos="0" relativeHeight="251664384" behindDoc="0" locked="0" layoutInCell="1" allowOverlap="1">
            <wp:simplePos x="0" y="0"/>
            <wp:positionH relativeFrom="column">
              <wp:posOffset>76200</wp:posOffset>
            </wp:positionH>
            <wp:positionV relativeFrom="paragraph">
              <wp:posOffset>123825</wp:posOffset>
            </wp:positionV>
            <wp:extent cx="5273675" cy="2346960"/>
            <wp:effectExtent l="0" t="0" r="3175" b="1524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273675" cy="2346960"/>
                    </a:xfrm>
                    <a:prstGeom prst="rect">
                      <a:avLst/>
                    </a:prstGeom>
                    <a:noFill/>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sz w:val="28"/>
          <w:szCs w:val="28"/>
        </w:rPr>
      </w:pPr>
      <w:r>
        <w:rPr>
          <w:rFonts w:hint="eastAsia" w:ascii="宋体" w:hAnsi="宋体" w:cs="宋体"/>
          <w:sz w:val="28"/>
          <w:szCs w:val="28"/>
          <w:lang w:val="en-US" w:eastAsia="zh-CN"/>
        </w:rPr>
        <w:t>“高校一体化教学平台”是中国会计教育专家委员会主导、正保远程教育提供资金和技术支持的“互联网+会计专业教学一体化改革”项目，在“大智移云（大数据、人工智能、移动互联网、云计算）”的背景下，利用现代信息技术及会计学科建设与教育教学经验，为整合会计专业教学的各类系统和资源，优化专业教学组织形式，提升专业教学趣味性，通过线上线下结合的混合式教学模式和过程考核体系，改善学生“不爱学”和“不愿学”、改变教师“不愿做”和“做不了”的教学困境，全面提升会计专业人才培养质量。</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正保会计学院在学院创办时借助正保技术及资金支持，完成了学院8个教室、2个机房、1个手工账实验室的网络覆盖及服务器搭建，完善学院信息化教学的基础条件。</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（3）强化实践教学，全面提升学生实操能力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正保会计学院采用正保远程教育最新教学成果——财务共享云课程进行教学，把企业会计业务搬进课堂，使实务教学与理论教学做到真正的融合，通过财务共享云开设了票据识别、财税审核、财税分析等实践类课程，从第一学期开始就开设实践类课程——票据识别。将实践环节融合进日常教学过程中，使理论教学与实践教学相结合，调动学生学习积极性；“云共享服务中心”也将为学生打造真实的财务工作场景，让学生在实战中获得更多的知识和技能。</w:t>
      </w:r>
    </w:p>
    <w:p>
      <w:pPr>
        <w:spacing w:before="0" w:after="0" w:line="240" w:lineRule="auto"/>
        <w:ind w:firstLine="560" w:firstLineChars="200"/>
        <w:rPr>
          <w:rFonts w:hint="eastAsia" w:ascii="宋体" w:hAnsi="宋体" w:cs="宋体"/>
          <w:sz w:val="28"/>
          <w:szCs w:val="28"/>
          <w:lang w:val="en-US" w:eastAsia="zh-CN"/>
        </w:rPr>
      </w:pPr>
      <w:r>
        <w:rPr>
          <w:rFonts w:hint="eastAsia" w:ascii="宋体" w:hAnsi="宋体" w:cs="宋体"/>
          <w:sz w:val="28"/>
          <w:szCs w:val="28"/>
          <w:lang w:val="en-US" w:eastAsia="zh-CN"/>
        </w:rPr>
        <w:drawing>
          <wp:anchor distT="0" distB="0" distL="0" distR="0" simplePos="0" relativeHeight="251665408" behindDoc="0" locked="0" layoutInCell="1" allowOverlap="1">
            <wp:simplePos x="0" y="0"/>
            <wp:positionH relativeFrom="column">
              <wp:posOffset>0</wp:posOffset>
            </wp:positionH>
            <wp:positionV relativeFrom="paragraph">
              <wp:posOffset>8890</wp:posOffset>
            </wp:positionV>
            <wp:extent cx="5273675" cy="3426460"/>
            <wp:effectExtent l="0" t="0" r="3175" b="254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273675" cy="3426460"/>
                    </a:xfrm>
                    <a:prstGeom prst="rect">
                      <a:avLst/>
                    </a:prstGeom>
                    <a:noFill/>
                  </pic:spPr>
                </pic:pic>
              </a:graphicData>
            </a:graphic>
          </wp:anchor>
        </w:drawing>
      </w:r>
      <w:r>
        <w:rPr>
          <w:rFonts w:hint="eastAsia" w:ascii="宋体" w:hAnsi="宋体" w:cs="宋体"/>
          <w:sz w:val="28"/>
          <w:szCs w:val="28"/>
          <w:lang w:val="en-US" w:eastAsia="zh-CN"/>
        </w:rPr>
        <w:tab/>
      </w:r>
    </w:p>
    <w:p>
      <w:pPr>
        <w:spacing w:before="0" w:after="0" w:line="240" w:lineRule="auto"/>
        <w:ind w:firstLine="560" w:firstLineChars="200"/>
        <w:rPr>
          <w:rFonts w:hint="eastAsia" w:ascii="宋体" w:hAnsi="宋体" w:cs="宋体"/>
          <w:sz w:val="28"/>
          <w:szCs w:val="28"/>
          <w:lang w:val="en-US" w:eastAsia="zh-CN"/>
        </w:rPr>
      </w:pPr>
    </w:p>
    <w:p>
      <w:pPr>
        <w:spacing w:before="0" w:after="0" w:line="240" w:lineRule="auto"/>
        <w:ind w:firstLine="560" w:firstLineChars="200"/>
        <w:rPr>
          <w:rFonts w:hint="eastAsia" w:ascii="宋体" w:hAnsi="宋体" w:cs="宋体"/>
          <w:sz w:val="28"/>
          <w:szCs w:val="28"/>
          <w:lang w:val="en-US" w:eastAsia="zh-CN"/>
        </w:rPr>
      </w:pPr>
    </w:p>
    <w:p>
      <w:pPr>
        <w:spacing w:before="0" w:after="0" w:line="240" w:lineRule="auto"/>
        <w:ind w:firstLine="560" w:firstLineChars="200"/>
        <w:rPr>
          <w:rFonts w:hint="eastAsia" w:ascii="宋体" w:hAnsi="宋体" w:cs="宋体"/>
          <w:sz w:val="28"/>
          <w:szCs w:val="28"/>
          <w:lang w:val="en-US" w:eastAsia="zh-CN"/>
        </w:rPr>
      </w:pPr>
    </w:p>
    <w:p>
      <w:pPr>
        <w:spacing w:before="0" w:after="0" w:line="240" w:lineRule="auto"/>
        <w:ind w:firstLine="560" w:firstLineChars="200"/>
        <w:rPr>
          <w:rFonts w:hint="eastAsia" w:ascii="宋体" w:hAnsi="宋体" w:cs="宋体"/>
          <w:sz w:val="28"/>
          <w:szCs w:val="28"/>
          <w:lang w:val="en-US" w:eastAsia="zh-CN"/>
        </w:rPr>
      </w:pPr>
    </w:p>
    <w:p>
      <w:pPr>
        <w:spacing w:before="0" w:after="0" w:line="240" w:lineRule="auto"/>
        <w:ind w:firstLine="560" w:firstLineChars="200"/>
        <w:rPr>
          <w:rFonts w:hint="eastAsia" w:ascii="宋体" w:hAnsi="宋体" w:cs="宋体"/>
          <w:sz w:val="28"/>
          <w:szCs w:val="28"/>
          <w:lang w:val="en-US" w:eastAsia="zh-CN"/>
        </w:rPr>
      </w:pPr>
    </w:p>
    <w:p>
      <w:pPr>
        <w:spacing w:before="0" w:after="0" w:line="240" w:lineRule="auto"/>
        <w:ind w:firstLine="560" w:firstLineChars="200"/>
        <w:rPr>
          <w:rFonts w:hint="eastAsia" w:ascii="宋体" w:hAnsi="宋体" w:cs="宋体"/>
          <w:sz w:val="28"/>
          <w:szCs w:val="28"/>
          <w:lang w:val="en-US" w:eastAsia="zh-CN"/>
        </w:rPr>
      </w:pPr>
    </w:p>
    <w:p>
      <w:pPr>
        <w:spacing w:before="0" w:after="0" w:line="240" w:lineRule="auto"/>
        <w:ind w:firstLine="560" w:firstLineChars="200"/>
        <w:rPr>
          <w:rFonts w:hint="eastAsia" w:ascii="宋体" w:hAnsi="宋体" w:cs="宋体"/>
          <w:sz w:val="28"/>
          <w:szCs w:val="28"/>
          <w:lang w:val="en-US" w:eastAsia="zh-CN"/>
        </w:rPr>
      </w:pPr>
    </w:p>
    <w:p>
      <w:pPr>
        <w:spacing w:before="0" w:after="0" w:line="240" w:lineRule="auto"/>
        <w:ind w:firstLine="560" w:firstLineChars="200"/>
        <w:rPr>
          <w:rFonts w:hint="eastAsia" w:ascii="宋体" w:hAnsi="宋体" w:cs="宋体"/>
          <w:sz w:val="28"/>
          <w:szCs w:val="28"/>
          <w:lang w:val="en-US" w:eastAsia="zh-CN"/>
        </w:rPr>
      </w:pPr>
    </w:p>
    <w:p>
      <w:pPr>
        <w:spacing w:before="0" w:after="0" w:line="240" w:lineRule="auto"/>
        <w:ind w:firstLine="560" w:firstLineChars="200"/>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（4）紧密衔接就业项目，提高就业率</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会计就业推荐项目基于对数万家合作企业的岗位招聘需求和会计能力框架分析，从企业用人的角度设计岗前集训、职场导师、职业素养、面试技巧、简历撰写等培训课程，通过职业能力测评系统反复测试，再结合学生会计理论学习、实践技能训练、岗位实习成果的记录和分析，形成学习档案和“能力肖像”，精准推荐对口就业。</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drawing>
          <wp:anchor distT="0" distB="0" distL="0" distR="0" simplePos="0" relativeHeight="251666432" behindDoc="0" locked="0" layoutInCell="1" allowOverlap="1">
            <wp:simplePos x="0" y="0"/>
            <wp:positionH relativeFrom="column">
              <wp:posOffset>174625</wp:posOffset>
            </wp:positionH>
            <wp:positionV relativeFrom="paragraph">
              <wp:posOffset>48895</wp:posOffset>
            </wp:positionV>
            <wp:extent cx="5280025" cy="2228215"/>
            <wp:effectExtent l="0" t="0" r="15875" b="635"/>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278292" cy="2227673"/>
                    </a:xfrm>
                    <a:prstGeom prst="rect">
                      <a:avLst/>
                    </a:prstGeom>
                    <a:noFill/>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（5）鼓励、帮助学生参加会计初级职称考试及初级经济师考试以及其他活动</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正保远程教育为所有同学免费开通辅导课程，组织学生学习会计初级职称课程，并为学生开通初级经济师考证课程以及银行从业考证课程。组织学生积极参加“中华会计网校杯财会大赛”。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drawing>
          <wp:anchor distT="0" distB="0" distL="0" distR="0" simplePos="0" relativeHeight="251667456" behindDoc="0" locked="0" layoutInCell="1" allowOverlap="1">
            <wp:simplePos x="0" y="0"/>
            <wp:positionH relativeFrom="column">
              <wp:posOffset>114300</wp:posOffset>
            </wp:positionH>
            <wp:positionV relativeFrom="paragraph">
              <wp:posOffset>100965</wp:posOffset>
            </wp:positionV>
            <wp:extent cx="5273675" cy="4974590"/>
            <wp:effectExtent l="0" t="0" r="3175" b="1651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73675" cy="4974590"/>
                    </a:xfrm>
                    <a:prstGeom prst="rect">
                      <a:avLst/>
                    </a:prstGeom>
                    <a:noFill/>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sz w:val="28"/>
          <w:szCs w:val="28"/>
          <w:lang w:val="en-US" w:eastAsia="zh-CN"/>
        </w:rPr>
      </w:pPr>
      <w:bookmarkStart w:id="179" w:name="_Toc14088"/>
      <w:r>
        <w:rPr>
          <w:rFonts w:hint="eastAsia" w:ascii="宋体" w:hAnsi="宋体" w:cs="宋体"/>
          <w:b/>
          <w:bCs/>
          <w:sz w:val="28"/>
          <w:szCs w:val="28"/>
          <w:lang w:val="en-US" w:eastAsia="zh-CN"/>
        </w:rPr>
        <w:t>6.3人才共育</w:t>
      </w:r>
      <w:bookmarkEnd w:id="179"/>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院主动适应就业市场对人才的需求，以培养生产建设急需的高素质技术技能人才为目标，本着资源共享、共赢互利的原则，发挥各自优势，强化校企合作，推进产教融合。依托创意学院千企共融合作平台、太湖创意职业技术学院职业教育集团（筹建中），推进校企对接机制，健全学校主体、行业指导、企业参与的专业建设机制，引导和调动行业、企业以及社会力量参与专业建设，与企业（行业）共同制订专业人才培养方案，共建流动学校、流动课堂，实现专业教学要求与企业（行业）岗位技能要求对接，课程内容与职业标准对接。引入企业新技术、新工艺，校企合作开发专业课程和教学资源。积极试行多学期、分段式等灵活多样的教学组织形式，将学校的教学过程和企业的生产过程紧密结合，校企共同完成教学任务。</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坚持走校企合作、产教融合之路，近五年来，学院新增与60家企业合作建设校外实习、实践、就业基地，其中深度合作基地10家，聘请行业、企业专家30余位作为学院和各系的专业建设委员会或教学指导委员会成员，参与学院的专业与课程建设、人才培养方案编制等工作，2020年成功组建了千企共融平台，为学院的拓展铺平了道路。学校与共融平台企业共建校外导师专家库，入库专家总数达130余人。</w:t>
      </w: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ind w:firstLine="400" w:firstLineChars="200"/>
      </w:pPr>
    </w:p>
    <w:p>
      <w:pPr>
        <w:pStyle w:val="6"/>
        <w:snapToGrid w:val="0"/>
        <w:spacing w:before="0" w:after="0" w:line="240" w:lineRule="auto"/>
      </w:pPr>
    </w:p>
    <w:p>
      <w:pPr>
        <w:pStyle w:val="6"/>
        <w:spacing w:line="240" w:lineRule="auto"/>
        <w:rPr>
          <w:rFonts w:hint="eastAsia" w:ascii="楷体" w:hAnsi="楷体" w:eastAsia="楷体" w:cs="宋体"/>
          <w:bCs/>
          <w:sz w:val="24"/>
          <w:szCs w:val="24"/>
        </w:rPr>
      </w:pPr>
      <w:bookmarkStart w:id="180" w:name="_Toc23001"/>
      <w:r>
        <w:t xml:space="preserve">案例 6- </w:t>
      </w:r>
      <w:r>
        <w:fldChar w:fldCharType="begin"/>
      </w:r>
      <w:r>
        <w:instrText xml:space="preserve"> SEQ 案例_6- \* ARABIC </w:instrText>
      </w:r>
      <w:r>
        <w:fldChar w:fldCharType="separate"/>
      </w:r>
      <w:r>
        <w:t>1</w:t>
      </w:r>
      <w:r>
        <w:fldChar w:fldCharType="end"/>
      </w:r>
      <w:r>
        <w:rPr>
          <w:rFonts w:hint="eastAsia"/>
          <w:lang w:eastAsia="zh-CN"/>
        </w:rPr>
        <w:t xml:space="preserve">  【</w:t>
      </w:r>
      <w:r>
        <w:rPr>
          <w:rFonts w:hint="eastAsia"/>
          <w:lang w:val="en-US" w:eastAsia="zh-CN"/>
        </w:rPr>
        <w:t>太湖创意职业技术学院</w:t>
      </w:r>
      <w:r>
        <w:rPr>
          <w:rFonts w:hint="eastAsia"/>
          <w:lang w:eastAsia="zh-CN"/>
        </w:rPr>
        <w:t>双元制校企合作联合人才培养项目】</w:t>
      </w:r>
      <w:r>
        <w:rPr>
          <w:rFonts w:hint="eastAsia" w:ascii="楷体" w:hAnsi="楷体" w:eastAsia="楷体" w:cs="宋体"/>
          <w:bCs/>
          <w:sz w:val="24"/>
          <w:szCs w:val="24"/>
        </w:rPr>
        <w:t>太湖创意职业技术学院与无锡合一精机公司合作的“双元制校企合作联合人才培养项目”，合一公司整体迁入创意学院实验楼，深度参与机电类专业的人才培养过程，该项目被认定为无锡市校企合作示范组合。这是学生在工厂实习。</w:t>
      </w:r>
      <w:bookmarkEnd w:id="180"/>
    </w:p>
    <w:p>
      <w:pPr>
        <w:spacing w:before="0" w:after="0" w:line="240" w:lineRule="auto"/>
        <w:ind w:firstLine="440" w:firstLineChars="200"/>
        <w:rPr>
          <w:sz w:val="22"/>
        </w:rPr>
      </w:pPr>
      <w:r>
        <w:rPr>
          <w:sz w:val="22"/>
        </w:rPr>
        <w:drawing>
          <wp:anchor distT="0" distB="0" distL="114300" distR="114300" simplePos="0" relativeHeight="251663360" behindDoc="0" locked="0" layoutInCell="1" allowOverlap="1">
            <wp:simplePos x="0" y="0"/>
            <wp:positionH relativeFrom="column">
              <wp:posOffset>111125</wp:posOffset>
            </wp:positionH>
            <wp:positionV relativeFrom="paragraph">
              <wp:posOffset>45085</wp:posOffset>
            </wp:positionV>
            <wp:extent cx="5066665" cy="3378200"/>
            <wp:effectExtent l="0" t="0" r="635" b="12700"/>
            <wp:wrapTopAndBottom/>
            <wp:docPr id="4" name="图片 4" descr="微信图片_2021110915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11109153818"/>
                    <pic:cNvPicPr>
                      <a:picLocks noChangeAspect="1"/>
                    </pic:cNvPicPr>
                  </pic:nvPicPr>
                  <pic:blipFill>
                    <a:blip r:embed="rId16"/>
                    <a:stretch>
                      <a:fillRect/>
                    </a:stretch>
                  </pic:blipFill>
                  <pic:spPr>
                    <a:xfrm>
                      <a:off x="0" y="0"/>
                      <a:ext cx="5066665" cy="3378200"/>
                    </a:xfrm>
                    <a:prstGeom prst="rect">
                      <a:avLst/>
                    </a:prstGeom>
                  </pic:spPr>
                </pic:pic>
              </a:graphicData>
            </a:graphic>
          </wp:anchor>
        </w:drawing>
      </w:r>
    </w:p>
    <w:p>
      <w:pPr>
        <w:pStyle w:val="6"/>
        <w:spacing w:before="0" w:after="0" w:line="240" w:lineRule="auto"/>
        <w:ind w:firstLine="400" w:firstLineChars="200"/>
        <w:jc w:val="center"/>
        <w:rPr>
          <w:rFonts w:hint="eastAsia" w:eastAsia="宋体"/>
          <w:sz w:val="22"/>
          <w:lang w:eastAsia="zh-CN"/>
        </w:rPr>
      </w:pPr>
      <w:bookmarkStart w:id="181" w:name="_Toc8750"/>
      <w:r>
        <w:t xml:space="preserve">图 </w:t>
      </w:r>
      <w:r>
        <w:fldChar w:fldCharType="begin"/>
      </w:r>
      <w:r>
        <w:instrText xml:space="preserve"> SEQ 图 \* ARABIC </w:instrText>
      </w:r>
      <w:r>
        <w:fldChar w:fldCharType="separate"/>
      </w:r>
      <w:r>
        <w:t>41</w:t>
      </w:r>
      <w:r>
        <w:fldChar w:fldCharType="end"/>
      </w:r>
      <w:bookmarkStart w:id="182" w:name="_Toc19453"/>
      <w:r>
        <w:rPr>
          <w:rFonts w:hint="eastAsia"/>
          <w:lang w:eastAsia="zh-CN"/>
        </w:rPr>
        <w:t xml:space="preserve">  太湖创意职业技术学院双元制校企合作联合人才培养项目实训场景</w:t>
      </w:r>
      <w:bookmarkEnd w:id="181"/>
      <w:bookmarkEnd w:id="182"/>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pStyle w:val="6"/>
        <w:spacing w:line="240" w:lineRule="auto"/>
        <w:rPr>
          <w:rFonts w:hint="eastAsia" w:ascii="楷体" w:hAnsi="楷体" w:eastAsia="楷体" w:cs="宋体"/>
          <w:bCs/>
          <w:kern w:val="2"/>
          <w:sz w:val="24"/>
          <w:szCs w:val="24"/>
          <w:lang w:val="en-US" w:eastAsia="zh-CN" w:bidi="ar-SA"/>
        </w:rPr>
      </w:pPr>
      <w:bookmarkStart w:id="183" w:name="_Toc18370"/>
      <w:r>
        <w:t xml:space="preserve">案例 6- </w:t>
      </w:r>
      <w:r>
        <w:fldChar w:fldCharType="begin"/>
      </w:r>
      <w:r>
        <w:instrText xml:space="preserve"> SEQ 案例_6- \* ARABIC </w:instrText>
      </w:r>
      <w:r>
        <w:fldChar w:fldCharType="separate"/>
      </w:r>
      <w:r>
        <w:t>2</w:t>
      </w:r>
      <w:r>
        <w:fldChar w:fldCharType="end"/>
      </w:r>
      <w:r>
        <w:rPr>
          <w:rFonts w:hint="eastAsia"/>
          <w:lang w:eastAsia="zh-CN"/>
        </w:rPr>
        <w:t xml:space="preserve">  【太湖创意职业技术学院与新瑞医院教学医院揭牌】</w:t>
      </w:r>
      <w:r>
        <w:rPr>
          <w:rFonts w:hint="eastAsia" w:ascii="楷体" w:hAnsi="楷体" w:eastAsia="楷体" w:cs="宋体"/>
          <w:bCs/>
          <w:kern w:val="2"/>
          <w:sz w:val="24"/>
          <w:szCs w:val="24"/>
          <w:lang w:val="en-US" w:eastAsia="zh-CN" w:bidi="ar-SA"/>
        </w:rPr>
        <w:t>医校携手，专本共建，构建护理人才培养的立体格局，学校康养护理学院在校企合作方面又结硕果，“太湖创意职业技术学院临床教学基地” “无锡太湖学院教学医院”揭牌仪式，在位于新吴区的上海交通大学医学院附属瑞金医院无锡分院（新瑞医院）隆重举行。通过校院之间的精诚合作、共同努力，一定能够创造学校和医院共同发展、互惠共赢的美好局面，一定能够促进医疗、教学、科研各方面工作的全面协调发展。</w:t>
      </w:r>
      <w:bookmarkEnd w:id="183"/>
    </w:p>
    <w:p>
      <w:pPr>
        <w:rPr>
          <w:rFonts w:hint="eastAsia" w:ascii="微软雅黑" w:hAnsi="微软雅黑" w:eastAsia="微软雅黑" w:cs="微软雅黑"/>
          <w:i w:val="0"/>
          <w:iCs w:val="0"/>
          <w:caps w:val="0"/>
          <w:spacing w:val="8"/>
          <w:sz w:val="22"/>
          <w:szCs w:val="22"/>
          <w:shd w:val="clear" w:fill="FFFFFF"/>
          <w:lang w:val="en-US" w:eastAsia="zh-CN"/>
        </w:rPr>
      </w:pPr>
      <w:r>
        <w:rPr>
          <w:rFonts w:hint="eastAsia" w:ascii="微软雅黑" w:hAnsi="微软雅黑" w:eastAsia="微软雅黑" w:cs="微软雅黑"/>
          <w:i w:val="0"/>
          <w:iCs w:val="0"/>
          <w:caps w:val="0"/>
          <w:spacing w:val="8"/>
          <w:sz w:val="22"/>
          <w:szCs w:val="22"/>
          <w:shd w:val="clear" w:fill="FFFFFF"/>
          <w:lang w:val="en-US" w:eastAsia="zh-CN"/>
        </w:rPr>
        <w:drawing>
          <wp:anchor distT="0" distB="0" distL="114300" distR="114300" simplePos="0" relativeHeight="251687936" behindDoc="0" locked="0" layoutInCell="1" allowOverlap="1">
            <wp:simplePos x="0" y="0"/>
            <wp:positionH relativeFrom="column">
              <wp:posOffset>247015</wp:posOffset>
            </wp:positionH>
            <wp:positionV relativeFrom="paragraph">
              <wp:posOffset>23495</wp:posOffset>
            </wp:positionV>
            <wp:extent cx="4933950" cy="3289935"/>
            <wp:effectExtent l="0" t="0" r="0" b="5715"/>
            <wp:wrapNone/>
            <wp:docPr id="32" name="图片 32" descr="458e9e64be4d403f6b0cd17b19a3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58e9e64be4d403f6b0cd17b19a33568"/>
                    <pic:cNvPicPr>
                      <a:picLocks noChangeAspect="1"/>
                    </pic:cNvPicPr>
                  </pic:nvPicPr>
                  <pic:blipFill>
                    <a:blip r:embed="rId57"/>
                    <a:stretch>
                      <a:fillRect/>
                    </a:stretch>
                  </pic:blipFill>
                  <pic:spPr>
                    <a:xfrm>
                      <a:off x="0" y="0"/>
                      <a:ext cx="4933950" cy="3289935"/>
                    </a:xfrm>
                    <a:prstGeom prst="rect">
                      <a:avLst/>
                    </a:prstGeom>
                  </pic:spPr>
                </pic:pic>
              </a:graphicData>
            </a:graphic>
          </wp:anchor>
        </w:drawing>
      </w:r>
    </w:p>
    <w:p>
      <w:pPr>
        <w:pStyle w:val="6"/>
      </w:pPr>
    </w:p>
    <w:p>
      <w:pPr>
        <w:pStyle w:val="6"/>
      </w:pPr>
    </w:p>
    <w:p>
      <w:pPr>
        <w:pStyle w:val="6"/>
      </w:pPr>
    </w:p>
    <w:p>
      <w:pPr>
        <w:pStyle w:val="6"/>
      </w:pPr>
    </w:p>
    <w:p>
      <w:pPr>
        <w:pStyle w:val="6"/>
      </w:pPr>
    </w:p>
    <w:p>
      <w:pPr>
        <w:pStyle w:val="6"/>
      </w:pPr>
    </w:p>
    <w:p>
      <w:pPr>
        <w:pStyle w:val="6"/>
      </w:pPr>
    </w:p>
    <w:p>
      <w:pPr>
        <w:pStyle w:val="6"/>
      </w:pPr>
    </w:p>
    <w:p>
      <w:pPr>
        <w:pStyle w:val="6"/>
        <w:jc w:val="center"/>
        <w:rPr>
          <w:rFonts w:hint="default" w:eastAsia="宋体"/>
          <w:lang w:val="en-US" w:eastAsia="zh-CN"/>
        </w:rPr>
      </w:pPr>
      <w:bookmarkStart w:id="184" w:name="_Toc3009"/>
      <w:r>
        <w:rPr>
          <w:rFonts w:hint="eastAsia" w:ascii="微软雅黑" w:hAnsi="微软雅黑" w:eastAsia="微软雅黑" w:cs="微软雅黑"/>
          <w:i w:val="0"/>
          <w:iCs w:val="0"/>
          <w:caps w:val="0"/>
          <w:spacing w:val="8"/>
          <w:sz w:val="22"/>
          <w:szCs w:val="22"/>
          <w:shd w:val="clear" w:fill="FFFFFF"/>
          <w:lang w:val="en-US" w:eastAsia="zh-CN"/>
        </w:rPr>
        <w:drawing>
          <wp:anchor distT="0" distB="0" distL="114300" distR="114300" simplePos="0" relativeHeight="251688960" behindDoc="0" locked="0" layoutInCell="1" allowOverlap="1">
            <wp:simplePos x="0" y="0"/>
            <wp:positionH relativeFrom="column">
              <wp:posOffset>262255</wp:posOffset>
            </wp:positionH>
            <wp:positionV relativeFrom="paragraph">
              <wp:posOffset>326390</wp:posOffset>
            </wp:positionV>
            <wp:extent cx="4937125" cy="3291840"/>
            <wp:effectExtent l="0" t="0" r="15875" b="3810"/>
            <wp:wrapNone/>
            <wp:docPr id="37" name="图片 37" descr="d419f9d6470c00e8492bb433b6fb83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419f9d6470c00e8492bb433b6fb83f0"/>
                    <pic:cNvPicPr>
                      <a:picLocks noChangeAspect="1"/>
                    </pic:cNvPicPr>
                  </pic:nvPicPr>
                  <pic:blipFill>
                    <a:blip r:embed="rId58"/>
                    <a:stretch>
                      <a:fillRect/>
                    </a:stretch>
                  </pic:blipFill>
                  <pic:spPr>
                    <a:xfrm>
                      <a:off x="0" y="0"/>
                      <a:ext cx="4937125" cy="3291840"/>
                    </a:xfrm>
                    <a:prstGeom prst="rect">
                      <a:avLst/>
                    </a:prstGeom>
                  </pic:spPr>
                </pic:pic>
              </a:graphicData>
            </a:graphic>
          </wp:anchor>
        </w:drawing>
      </w:r>
      <w:r>
        <w:t xml:space="preserve">图 </w:t>
      </w:r>
      <w:r>
        <w:fldChar w:fldCharType="begin"/>
      </w:r>
      <w:r>
        <w:instrText xml:space="preserve"> SEQ 图 \* ARABIC </w:instrText>
      </w:r>
      <w:r>
        <w:fldChar w:fldCharType="separate"/>
      </w:r>
      <w:r>
        <w:t>42</w:t>
      </w:r>
      <w:r>
        <w:fldChar w:fldCharType="end"/>
      </w:r>
      <w:bookmarkStart w:id="185" w:name="_Toc23297"/>
      <w:r>
        <w:rPr>
          <w:rFonts w:hint="eastAsia"/>
          <w:lang w:eastAsia="zh-CN"/>
        </w:rPr>
        <w:t xml:space="preserve">  太湖创意职业技术学院与新瑞医院教学医院揭牌现场</w:t>
      </w:r>
      <w:r>
        <w:rPr>
          <w:rFonts w:hint="eastAsia"/>
          <w:lang w:val="en-US" w:eastAsia="zh-CN"/>
        </w:rPr>
        <w:t>一</w:t>
      </w:r>
      <w:bookmarkEnd w:id="184"/>
      <w:bookmarkEnd w:id="185"/>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pPr>
    </w:p>
    <w:p>
      <w:pPr>
        <w:pStyle w:val="6"/>
        <w:jc w:val="center"/>
        <w:rPr>
          <w:rFonts w:hint="eastAsia" w:ascii="宋体" w:hAnsi="宋体" w:cs="宋体"/>
          <w:b/>
          <w:bCs/>
          <w:sz w:val="28"/>
          <w:szCs w:val="28"/>
          <w:lang w:val="en-US" w:eastAsia="zh-CN"/>
        </w:rPr>
      </w:pPr>
      <w:bookmarkStart w:id="186" w:name="_Toc20544"/>
      <w:r>
        <w:t xml:space="preserve">图 </w:t>
      </w:r>
      <w:r>
        <w:fldChar w:fldCharType="begin"/>
      </w:r>
      <w:r>
        <w:instrText xml:space="preserve"> SEQ 图 \* ARABIC </w:instrText>
      </w:r>
      <w:r>
        <w:fldChar w:fldCharType="separate"/>
      </w:r>
      <w:r>
        <w:t>43</w:t>
      </w:r>
      <w:r>
        <w:fldChar w:fldCharType="end"/>
      </w:r>
      <w:bookmarkStart w:id="187" w:name="_Toc24661"/>
      <w:r>
        <w:rPr>
          <w:rFonts w:hint="eastAsia"/>
          <w:lang w:eastAsia="zh-CN"/>
        </w:rPr>
        <w:t xml:space="preserve">  太湖创意职业技术学院与新瑞医院教学医院揭牌现场</w:t>
      </w:r>
      <w:r>
        <w:rPr>
          <w:rFonts w:hint="eastAsia"/>
          <w:lang w:val="en-US" w:eastAsia="zh-CN"/>
        </w:rPr>
        <w:t>二</w:t>
      </w:r>
      <w:bookmarkEnd w:id="186"/>
      <w:bookmarkEnd w:id="187"/>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88" w:name="_Toc21685"/>
      <w:r>
        <w:rPr>
          <w:rFonts w:hint="eastAsia" w:ascii="宋体" w:hAnsi="宋体" w:cs="宋体"/>
          <w:b/>
          <w:bCs/>
          <w:sz w:val="28"/>
          <w:szCs w:val="28"/>
          <w:lang w:val="en-US" w:eastAsia="zh-CN"/>
        </w:rPr>
        <w:t>6.4双师共培</w:t>
      </w:r>
      <w:bookmarkEnd w:id="188"/>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通过聘请职业教师培训基地专家和具有丰富实践经验的专业技术人员做教员，利用寒、暑假期对学院在职教师进行培训。鼓励教师积极参加国家组织的各类执业资格、职称资格的培训考试，或者国家劳动部门的职业资格鉴定，达到“双师型”素质。选送有责任心、上进心的优秀教师到企业进行短期或中期专业培训，参加企事业单位的实践活动。目前专业课教师总数为111人，“双师型”专业课教师数为45人，占比40.54%，</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校企共建“双师型”教师培养培训基地和教师企业实践基地。</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1、学院与北京正保会计教育科技有限公司校企共建“双师型”教师培养培训基地“正保会计学院”，面向大数据与会计专业培养培训教师36人*天。</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default" w:ascii="宋体" w:hAnsi="宋体" w:cs="宋体"/>
          <w:sz w:val="28"/>
          <w:szCs w:val="28"/>
          <w:lang w:val="en-US" w:eastAsia="zh-CN"/>
        </w:rPr>
      </w:pPr>
      <w:r>
        <w:rPr>
          <w:rFonts w:hint="eastAsia" w:ascii="宋体" w:hAnsi="宋体" w:cs="宋体"/>
          <w:sz w:val="28"/>
          <w:szCs w:val="28"/>
          <w:lang w:val="en-US" w:eastAsia="zh-CN"/>
        </w:rPr>
        <w:t>2、职业教育教师企业实践基地情况见下表：</w:t>
      </w:r>
    </w:p>
    <w:p>
      <w:pPr>
        <w:pStyle w:val="6"/>
        <w:jc w:val="center"/>
        <w:rPr>
          <w:rFonts w:hint="eastAsia" w:eastAsia="宋体"/>
          <w:lang w:eastAsia="zh-CN"/>
        </w:rPr>
      </w:pPr>
      <w:bookmarkStart w:id="189" w:name="_Toc1342"/>
      <w:r>
        <w:t xml:space="preserve">表 </w:t>
      </w:r>
      <w:bookmarkStart w:id="190" w:name="_Toc16726"/>
      <w:bookmarkStart w:id="191" w:name="_Toc14786"/>
      <w:r>
        <w:rPr>
          <w:rFonts w:hint="eastAsia"/>
          <w:lang w:val="en-US" w:eastAsia="zh-CN"/>
        </w:rPr>
        <w:t>13</w:t>
      </w:r>
      <w:r>
        <w:rPr>
          <w:rFonts w:hint="eastAsia"/>
          <w:lang w:eastAsia="zh-CN"/>
        </w:rPr>
        <w:t xml:space="preserve">  职业教育教师企业实践基地情况</w:t>
      </w:r>
      <w:bookmarkEnd w:id="189"/>
      <w:bookmarkEnd w:id="190"/>
      <w:bookmarkEnd w:id="191"/>
    </w:p>
    <w:tbl>
      <w:tblPr>
        <w:tblStyle w:val="13"/>
        <w:tblW w:w="92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2040"/>
        <w:gridCol w:w="2040"/>
        <w:gridCol w:w="2040"/>
        <w:gridCol w:w="2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40" w:type="dxa"/>
            <w:gridSpan w:val="5"/>
            <w:noWrap w:val="0"/>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职业教育教师企业实践基地情况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080"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2040"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职业教育教师企业实践基地名称</w:t>
            </w:r>
          </w:p>
        </w:tc>
        <w:tc>
          <w:tcPr>
            <w:tcW w:w="2040"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参与企业名称</w:t>
            </w:r>
          </w:p>
        </w:tc>
        <w:tc>
          <w:tcPr>
            <w:tcW w:w="2040"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面向专业</w:t>
            </w:r>
          </w:p>
        </w:tc>
        <w:tc>
          <w:tcPr>
            <w:tcW w:w="2040"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接收教师企业实践（人·天）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080"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040" w:type="dxa"/>
            <w:noWrap w:val="0"/>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江苏天合诚功机场管理有限公司</w:t>
            </w:r>
          </w:p>
        </w:tc>
        <w:tc>
          <w:tcPr>
            <w:tcW w:w="2040" w:type="dxa"/>
            <w:noWrap w:val="0"/>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江苏天合诚功机场管理有限公司</w:t>
            </w:r>
          </w:p>
        </w:tc>
        <w:tc>
          <w:tcPr>
            <w:tcW w:w="2040" w:type="dxa"/>
            <w:noWrap w:val="0"/>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空中乘务(500405);高速铁路客运服务(500113)</w:t>
            </w:r>
          </w:p>
        </w:tc>
        <w:tc>
          <w:tcPr>
            <w:tcW w:w="2040" w:type="dxa"/>
            <w:noWrap w:val="0"/>
            <w:vAlign w:val="center"/>
          </w:tcPr>
          <w:p>
            <w:pPr>
              <w:keepNext w:val="0"/>
              <w:keepLines w:val="0"/>
              <w:widowControl/>
              <w:suppressLineNumbers w:val="0"/>
              <w:spacing w:line="240" w:lineRule="auto"/>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080" w:type="dxa"/>
            <w:noWrap w:val="0"/>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040" w:type="dxa"/>
            <w:noWrap w:val="0"/>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无锡合一精机科技有限公司</w:t>
            </w:r>
          </w:p>
        </w:tc>
        <w:tc>
          <w:tcPr>
            <w:tcW w:w="2040" w:type="dxa"/>
            <w:noWrap w:val="0"/>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无锡合一精机科技有限公司</w:t>
            </w:r>
          </w:p>
        </w:tc>
        <w:tc>
          <w:tcPr>
            <w:tcW w:w="2040" w:type="dxa"/>
            <w:noWrap w:val="0"/>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机械设计与制造(460101);机电一体化技术(460301)</w:t>
            </w:r>
          </w:p>
        </w:tc>
        <w:tc>
          <w:tcPr>
            <w:tcW w:w="2040" w:type="dxa"/>
            <w:noWrap w:val="0"/>
            <w:vAlign w:val="center"/>
          </w:tcPr>
          <w:p>
            <w:pPr>
              <w:keepNext w:val="0"/>
              <w:keepLines w:val="0"/>
              <w:widowControl/>
              <w:suppressLineNumbers w:val="0"/>
              <w:spacing w:line="240" w:lineRule="auto"/>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080" w:type="dxa"/>
            <w:noWrap w:val="0"/>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cs="宋体"/>
                <w:i w:val="0"/>
                <w:iCs w:val="0"/>
                <w:color w:val="000000"/>
                <w:kern w:val="0"/>
                <w:sz w:val="22"/>
                <w:szCs w:val="22"/>
                <w:u w:val="none"/>
                <w:lang w:val="en-US" w:eastAsia="zh-CN" w:bidi="ar"/>
              </w:rPr>
              <w:t>3</w:t>
            </w:r>
          </w:p>
        </w:tc>
        <w:tc>
          <w:tcPr>
            <w:tcW w:w="2040" w:type="dxa"/>
            <w:noWrap w:val="0"/>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北京正保会计教育科技有限公司</w:t>
            </w:r>
          </w:p>
        </w:tc>
        <w:tc>
          <w:tcPr>
            <w:tcW w:w="2040" w:type="dxa"/>
            <w:noWrap w:val="0"/>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北京正保会计教育科技有限公司</w:t>
            </w:r>
          </w:p>
        </w:tc>
        <w:tc>
          <w:tcPr>
            <w:tcW w:w="2040" w:type="dxa"/>
            <w:noWrap w:val="0"/>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大数据与会计(530302)</w:t>
            </w:r>
          </w:p>
        </w:tc>
        <w:tc>
          <w:tcPr>
            <w:tcW w:w="2040" w:type="dxa"/>
            <w:noWrap w:val="0"/>
            <w:vAlign w:val="center"/>
          </w:tcPr>
          <w:p>
            <w:pPr>
              <w:keepNext w:val="0"/>
              <w:keepLines w:val="0"/>
              <w:widowControl/>
              <w:suppressLineNumbers w:val="0"/>
              <w:spacing w:line="240" w:lineRule="auto"/>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cs="宋体"/>
                <w:i w:val="0"/>
                <w:iCs w:val="0"/>
                <w:color w:val="000000"/>
                <w:kern w:val="0"/>
                <w:sz w:val="22"/>
                <w:szCs w:val="22"/>
                <w:u w:val="none"/>
                <w:lang w:val="en-US" w:eastAsia="zh-CN" w:bidi="ar"/>
              </w:rPr>
              <w:t>36</w:t>
            </w:r>
          </w:p>
        </w:tc>
      </w:tr>
    </w:tbl>
    <w:p>
      <w:pPr>
        <w:keepNext w:val="0"/>
        <w:keepLines w:val="0"/>
        <w:pageBreakBefore w:val="0"/>
        <w:widowControl w:val="0"/>
        <w:kinsoku/>
        <w:wordWrap/>
        <w:overflowPunct/>
        <w:topLinePunct w:val="0"/>
        <w:autoSpaceDE/>
        <w:autoSpaceDN/>
        <w:bidi w:val="0"/>
        <w:adjustRightInd/>
        <w:snapToGrid/>
        <w:spacing w:line="520" w:lineRule="exact"/>
        <w:ind w:firstLine="640"/>
        <w:textAlignment w:val="auto"/>
        <w:rPr>
          <w:rFonts w:hint="eastAsia" w:eastAsia="仿宋_GB2312"/>
          <w:sz w:val="32"/>
          <w:szCs w:val="32"/>
        </w:rPr>
      </w:pPr>
    </w:p>
    <w:p>
      <w:pPr>
        <w:keepNext w:val="0"/>
        <w:keepLines w:val="0"/>
        <w:pageBreakBefore w:val="0"/>
        <w:widowControl w:val="0"/>
        <w:kinsoku/>
        <w:wordWrap/>
        <w:overflowPunct/>
        <w:topLinePunct w:val="0"/>
        <w:autoSpaceDE/>
        <w:autoSpaceDN/>
        <w:bidi w:val="0"/>
        <w:adjustRightInd/>
        <w:snapToGrid/>
        <w:spacing w:line="520" w:lineRule="exact"/>
        <w:ind w:firstLine="640"/>
        <w:textAlignment w:val="auto"/>
        <w:rPr>
          <w:rFonts w:hint="eastAsia" w:eastAsia="仿宋_GB2312"/>
          <w:sz w:val="32"/>
          <w:szCs w:val="32"/>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0"/>
        <w:rPr>
          <w:rFonts w:hint="eastAsia" w:ascii="宋体" w:hAnsi="宋体" w:cs="宋体"/>
          <w:b/>
          <w:bCs/>
          <w:sz w:val="28"/>
          <w:szCs w:val="28"/>
          <w:lang w:val="en-US" w:eastAsia="zh-CN"/>
        </w:rPr>
      </w:pPr>
      <w:bookmarkStart w:id="192" w:name="_Toc29383"/>
      <w:r>
        <w:rPr>
          <w:rFonts w:hint="eastAsia" w:ascii="宋体" w:hAnsi="宋体" w:cs="宋体"/>
          <w:b/>
          <w:bCs/>
          <w:sz w:val="28"/>
          <w:szCs w:val="28"/>
          <w:lang w:val="en-US" w:eastAsia="zh-CN"/>
        </w:rPr>
        <w:t>7.发展保障</w:t>
      </w:r>
      <w:bookmarkEnd w:id="192"/>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93" w:name="_Toc8307"/>
      <w:r>
        <w:rPr>
          <w:rFonts w:hint="eastAsia" w:ascii="宋体" w:hAnsi="宋体" w:cs="宋体"/>
          <w:b/>
          <w:bCs/>
          <w:sz w:val="28"/>
          <w:szCs w:val="28"/>
          <w:lang w:val="en-US" w:eastAsia="zh-CN"/>
        </w:rPr>
        <w:t>7.1党建引领</w:t>
      </w:r>
      <w:bookmarkEnd w:id="193"/>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eastAsia="宋体" w:cs="宋体"/>
          <w:kern w:val="2"/>
          <w:sz w:val="28"/>
          <w:szCs w:val="28"/>
          <w:lang w:val="en-US" w:eastAsia="zh-CN" w:bidi="ar-SA"/>
        </w:rPr>
        <w:t>（1）深入贯彻落实习近平新时代中国特色社会主义思想，推进落实中共中央办公厅《关于加强民办学校党的</w:t>
      </w:r>
      <w:r>
        <w:rPr>
          <w:rFonts w:hint="eastAsia" w:ascii="宋体" w:hAnsi="宋体" w:cs="宋体"/>
          <w:sz w:val="28"/>
          <w:szCs w:val="28"/>
          <w:lang w:val="en-US" w:eastAsia="zh-CN"/>
        </w:rPr>
        <w:t>建设工作的意见（试行）（中办发[2016]78号）、《民办学校党建工作重点任务》（中共中央组织部、教育部、民政部、人力资源社会保障部、市场监管总局印发）和《江苏民办学校党建工作重点任务清单》（中共江苏省委组织部、教工委、教育厅印发）等文件精神；协调校党委、校行政、理事会工作关系，推进落实“三重一大”事项决策机制；继续推进党委班子与学校决策层、管理层“双向进入、交叉任职”，健全完善党组织与学校理事会、监事会日常沟通协商及党组织与行政管理层联席会议等制度；深入贯彻党的教育方针，坚持社会主义办学方向，落实立德树人根本任务；进一步修订学校章程，对党组织的设置形式、地位作用、职责权限、参与决策机制和党务工作机构、人员配备、经费保证等完全达标，切实健全党组织的法制功能。</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2）强化理论武装，认真学习贯彻党和国家方针政策、党章党规、党史、习近平总书记系列重要讲话精神、中国特色社会主义理论体系、社会主义核心价值观，进一步推进中国特色社会主义理论“进教材、进课堂、进头脑”工作。</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3）加强组织建设，不断提升基层党组织的凝聚力和战斗力，发挥党员先锋模范作用，进一步完善以“三会一课”和基层党建考核办法为重点的基层党建制度，继续开展“两学一做”学习教育、党史学习教育，进一步提升做“四讲四有”合格党员的自觉性。</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（4）加强作风建设，严格遵守中央的八项规定和省委的十项规定，树立领导干部“廉洁、勤政、务实、高效”的工作作风，强化立规执纪，加大监督考核力度，构建作风建设的长效机制。</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5）深入开展文明创建活动。积极开展争创省、市精神文明建设先进单位活动，大力加强宣传思想文化工作，弘扬学院精神，打造和谐校园，深入开展大学文化研究，突出以学院精神塑造为核心的精神文化、物质文化和制度文化的探索与建设，全面提升学院精神文明建设水平，为实现学校发展规划，保证各项事业快速发展提供思想基础和精神支撑。</w:t>
      </w:r>
    </w:p>
    <w:p>
      <w:pPr>
        <w:pStyle w:val="6"/>
      </w:pPr>
    </w:p>
    <w:p>
      <w:pPr>
        <w:pStyle w:val="6"/>
        <w:spacing w:line="240" w:lineRule="auto"/>
        <w:rPr>
          <w:rFonts w:hint="eastAsia" w:ascii="楷体" w:hAnsi="楷体" w:eastAsia="楷体" w:cs="宋体"/>
          <w:b w:val="0"/>
          <w:bCs/>
          <w:kern w:val="2"/>
          <w:sz w:val="24"/>
          <w:szCs w:val="24"/>
          <w:lang w:val="en-US" w:eastAsia="zh-CN" w:bidi="ar-SA"/>
        </w:rPr>
      </w:pPr>
      <w:bookmarkStart w:id="194" w:name="_Toc769"/>
      <w:r>
        <w:t xml:space="preserve">案例 7- </w:t>
      </w:r>
      <w:r>
        <w:fldChar w:fldCharType="begin"/>
      </w:r>
      <w:r>
        <w:instrText xml:space="preserve"> SEQ 案例_7- \* ARABIC </w:instrText>
      </w:r>
      <w:r>
        <w:fldChar w:fldCharType="separate"/>
      </w:r>
      <w:r>
        <w:t>1</w:t>
      </w:r>
      <w:r>
        <w:fldChar w:fldCharType="end"/>
      </w:r>
      <w:r>
        <w:rPr>
          <w:rFonts w:hint="eastAsia"/>
          <w:lang w:eastAsia="zh-CN"/>
        </w:rPr>
        <w:t xml:space="preserve">  【太湖创意职业技术学院邀请宣讲团为学校师生作党的二十大精神宣讲】</w:t>
      </w:r>
      <w:r>
        <w:rPr>
          <w:rFonts w:hint="eastAsia" w:ascii="楷体" w:hAnsi="楷体" w:eastAsia="楷体" w:cs="宋体"/>
          <w:b w:val="0"/>
          <w:bCs/>
          <w:kern w:val="2"/>
          <w:sz w:val="24"/>
          <w:szCs w:val="24"/>
          <w:lang w:val="en-US" w:eastAsia="zh-CN" w:bidi="ar-SA"/>
        </w:rPr>
        <w:t>根据市委统一部署，市委宣讲团成员、无锡市委常委、宣传部部长李秋峰为学校师生作党的二十大精神宣讲。李秋峰部长以《深入学习贯彻二十大精神》为题，以七个“深刻领会”概括了党的二十大内涵和精神实质，即深刻领会党的二十大的主题和主要成果，深刻领会过去5年的工作和新时代10年的伟大变革，深刻领会开辟马克思主义中国化时代化新境界，深刻领会以中国式现代化推进中华民族伟大复兴的使命任务，深刻领会全面建设社会主义现代化国家的目标任务，深刻领会全面从严治党的重大要求，深刻领会应对风险挑战的部署要求。广大青年学子要牢记习近平总书记的殷殷嘱托，坚定理想信念，自觉把个人理想抱负与国家民族的奋斗目标统一起来，始终与党同向同行，与时代同频共振，刻苦学习知识，练就过硬技能，锤炼高尚品格，发扬斗争精神，努力成长为富有创新创造精神、实践能力强的专业型人才。</w:t>
      </w:r>
      <w:bookmarkEnd w:id="194"/>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rPr>
          <w:rFonts w:hint="eastAsia" w:ascii="微软雅黑" w:hAnsi="微软雅黑" w:eastAsia="微软雅黑" w:cs="微软雅黑"/>
          <w:i w:val="0"/>
          <w:iCs w:val="0"/>
          <w:caps w:val="0"/>
          <w:color w:val="3E3E3E"/>
          <w:spacing w:val="15"/>
          <w:sz w:val="22"/>
          <w:szCs w:val="22"/>
          <w:shd w:val="clear" w:fill="FFF4E9"/>
          <w:lang w:eastAsia="zh-CN"/>
        </w:rPr>
      </w:pPr>
      <w:r>
        <w:rPr>
          <w:rFonts w:hint="eastAsia" w:ascii="微软雅黑" w:hAnsi="微软雅黑" w:eastAsia="微软雅黑" w:cs="微软雅黑"/>
          <w:i w:val="0"/>
          <w:iCs w:val="0"/>
          <w:caps w:val="0"/>
          <w:color w:val="3E3E3E"/>
          <w:spacing w:val="15"/>
          <w:sz w:val="22"/>
          <w:szCs w:val="22"/>
          <w:shd w:val="clear" w:fill="FFF4E9"/>
          <w:lang w:eastAsia="zh-CN"/>
        </w:rPr>
        <w:drawing>
          <wp:anchor distT="0" distB="0" distL="114300" distR="114300" simplePos="0" relativeHeight="251691008" behindDoc="0" locked="0" layoutInCell="1" allowOverlap="1">
            <wp:simplePos x="0" y="0"/>
            <wp:positionH relativeFrom="column">
              <wp:posOffset>88900</wp:posOffset>
            </wp:positionH>
            <wp:positionV relativeFrom="paragraph">
              <wp:posOffset>111125</wp:posOffset>
            </wp:positionV>
            <wp:extent cx="5064125" cy="2841625"/>
            <wp:effectExtent l="0" t="0" r="3175" b="15875"/>
            <wp:wrapNone/>
            <wp:docPr id="39" name="图片 39" descr="486150f46250eed4b85b89004947d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486150f46250eed4b85b89004947de07"/>
                    <pic:cNvPicPr>
                      <a:picLocks noChangeAspect="1"/>
                    </pic:cNvPicPr>
                  </pic:nvPicPr>
                  <pic:blipFill>
                    <a:blip r:embed="rId59"/>
                    <a:stretch>
                      <a:fillRect/>
                    </a:stretch>
                  </pic:blipFill>
                  <pic:spPr>
                    <a:xfrm>
                      <a:off x="0" y="0"/>
                      <a:ext cx="5064125" cy="2841625"/>
                    </a:xfrm>
                    <a:prstGeom prst="rect">
                      <a:avLst/>
                    </a:prstGeom>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jc w:val="center"/>
        <w:textAlignment w:val="auto"/>
        <w:rPr>
          <w:rFonts w:hint="eastAsia" w:ascii="微软雅黑" w:hAnsi="微软雅黑" w:eastAsia="宋体" w:cs="微软雅黑"/>
          <w:i w:val="0"/>
          <w:iCs w:val="0"/>
          <w:caps w:val="0"/>
          <w:color w:val="3E3E3E"/>
          <w:spacing w:val="15"/>
          <w:sz w:val="22"/>
          <w:szCs w:val="22"/>
          <w:shd w:val="clear" w:fill="FFF4E9"/>
          <w:lang w:val="en-US" w:eastAsia="zh-CN"/>
        </w:rPr>
      </w:pPr>
      <w:bookmarkStart w:id="195" w:name="_Toc1775"/>
      <w:r>
        <w:t xml:space="preserve">图 </w:t>
      </w:r>
      <w:r>
        <w:fldChar w:fldCharType="begin"/>
      </w:r>
      <w:r>
        <w:instrText xml:space="preserve"> SEQ 图 \* ARABIC </w:instrText>
      </w:r>
      <w:r>
        <w:fldChar w:fldCharType="separate"/>
      </w:r>
      <w:r>
        <w:t>44</w:t>
      </w:r>
      <w:r>
        <w:fldChar w:fldCharType="end"/>
      </w:r>
      <w:bookmarkStart w:id="196" w:name="_Toc30830"/>
      <w:r>
        <w:rPr>
          <w:rFonts w:hint="eastAsia"/>
          <w:lang w:eastAsia="zh-CN"/>
        </w:rPr>
        <w:t xml:space="preserve">  太湖创意职业技术学院邀请宣讲团为学校师生作党的二十大精神宣讲现场一</w:t>
      </w:r>
      <w:bookmarkEnd w:id="195"/>
      <w:bookmarkEnd w:id="196"/>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00" w:firstLineChars="200"/>
        <w:textAlignment w:val="auto"/>
        <w:rPr>
          <w:rFonts w:hint="eastAsia" w:ascii="微软雅黑" w:hAnsi="微软雅黑" w:eastAsia="微软雅黑" w:cs="微软雅黑"/>
          <w:i w:val="0"/>
          <w:iCs w:val="0"/>
          <w:caps w:val="0"/>
          <w:color w:val="3E3E3E"/>
          <w:spacing w:val="15"/>
          <w:sz w:val="22"/>
          <w:szCs w:val="22"/>
          <w:shd w:val="clear" w:fill="FFF4E9"/>
          <w:lang w:eastAsia="zh-CN"/>
        </w:rPr>
      </w:pPr>
      <w:r>
        <w:rPr>
          <w:rFonts w:hint="eastAsia" w:ascii="微软雅黑" w:hAnsi="微软雅黑" w:eastAsia="微软雅黑" w:cs="微软雅黑"/>
          <w:i w:val="0"/>
          <w:iCs w:val="0"/>
          <w:caps w:val="0"/>
          <w:color w:val="3E3E3E"/>
          <w:spacing w:val="15"/>
          <w:sz w:val="22"/>
          <w:szCs w:val="22"/>
          <w:shd w:val="clear" w:fill="FFF4E9"/>
          <w:lang w:eastAsia="zh-CN"/>
        </w:rPr>
        <w:drawing>
          <wp:anchor distT="0" distB="0" distL="114300" distR="114300" simplePos="0" relativeHeight="251692032" behindDoc="0" locked="0" layoutInCell="1" allowOverlap="1">
            <wp:simplePos x="0" y="0"/>
            <wp:positionH relativeFrom="column">
              <wp:posOffset>98425</wp:posOffset>
            </wp:positionH>
            <wp:positionV relativeFrom="paragraph">
              <wp:posOffset>215900</wp:posOffset>
            </wp:positionV>
            <wp:extent cx="5080635" cy="2851150"/>
            <wp:effectExtent l="0" t="0" r="5715" b="6350"/>
            <wp:wrapNone/>
            <wp:docPr id="40" name="图片 40" descr="0fab42b5475ab9d24a9e4a09acd60f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fab42b5475ab9d24a9e4a09acd60fe2"/>
                    <pic:cNvPicPr>
                      <a:picLocks noChangeAspect="1"/>
                    </pic:cNvPicPr>
                  </pic:nvPicPr>
                  <pic:blipFill>
                    <a:blip r:embed="rId60"/>
                    <a:stretch>
                      <a:fillRect/>
                    </a:stretch>
                  </pic:blipFill>
                  <pic:spPr>
                    <a:xfrm>
                      <a:off x="0" y="0"/>
                      <a:ext cx="5080635" cy="2851150"/>
                    </a:xfrm>
                    <a:prstGeom prst="rect">
                      <a:avLst/>
                    </a:prstGeom>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jc w:val="center"/>
        <w:textAlignment w:val="auto"/>
        <w:rPr>
          <w:rFonts w:hint="eastAsia" w:ascii="微软雅黑" w:hAnsi="微软雅黑" w:eastAsia="宋体" w:cs="微软雅黑"/>
          <w:i w:val="0"/>
          <w:iCs w:val="0"/>
          <w:caps w:val="0"/>
          <w:color w:val="3E3E3E"/>
          <w:spacing w:val="15"/>
          <w:sz w:val="22"/>
          <w:szCs w:val="22"/>
          <w:shd w:val="clear" w:fill="FFF4E9"/>
          <w:lang w:val="en-US" w:eastAsia="zh-CN"/>
        </w:rPr>
      </w:pPr>
      <w:bookmarkStart w:id="197" w:name="_Toc18740"/>
      <w:r>
        <w:t xml:space="preserve">图 </w:t>
      </w:r>
      <w:r>
        <w:fldChar w:fldCharType="begin"/>
      </w:r>
      <w:r>
        <w:instrText xml:space="preserve"> SEQ 图 \* ARABIC </w:instrText>
      </w:r>
      <w:r>
        <w:fldChar w:fldCharType="separate"/>
      </w:r>
      <w:r>
        <w:t>45</w:t>
      </w:r>
      <w:r>
        <w:fldChar w:fldCharType="end"/>
      </w:r>
      <w:bookmarkStart w:id="198" w:name="_Toc14157"/>
      <w:r>
        <w:rPr>
          <w:rFonts w:hint="eastAsia"/>
          <w:lang w:eastAsia="zh-CN"/>
        </w:rPr>
        <w:t xml:space="preserve">  太湖创意职业技术学院邀请宣讲团为学校师生作党的二十大精神宣讲现场二</w:t>
      </w:r>
      <w:bookmarkEnd w:id="197"/>
      <w:bookmarkEnd w:id="198"/>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199" w:name="_Toc30774"/>
      <w:r>
        <w:rPr>
          <w:rFonts w:hint="eastAsia" w:ascii="宋体" w:hAnsi="宋体" w:cs="宋体"/>
          <w:b/>
          <w:bCs/>
          <w:sz w:val="28"/>
          <w:szCs w:val="28"/>
          <w:lang w:val="en-US" w:eastAsia="zh-CN"/>
        </w:rPr>
        <w:t>7.2政策落实</w:t>
      </w:r>
      <w:bookmarkEnd w:id="199"/>
      <w:bookmarkStart w:id="200" w:name="_Toc18662"/>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（1）国家政策落实</w:t>
      </w:r>
      <w:bookmarkEnd w:id="200"/>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院主动适应就业市场对人才的需求，以培养生产建设急需的高素质技术技能人才为目标，本着资源共享、共赢互利的原则，发挥各自优势，强化校企合作，推进产教融合。依托创意学院千企共融合作平台、太湖创意职业技术学院职业教育集团（筹建中），推进校企对接机制，健全学校主体、行业指导、企业参与的专业建设机制，引导和调动行业、企业以及社会力量参与专业建设，与企业（行业）共同制订专业人才培养方案，共建流动学校、流动课堂，实现专业教学要求与企业（行业）岗位技能要求对接，课程内容与职业标准对接。引入企业新技术、新工艺，校企合作开发专业课程和教学资源。积极试行多学期、分段式等灵活多样的教学组织形式，将学校的教学过程和企业的生产过程紧密结合，校企共同完成教学任务。</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加强校企实训基地建设。改善实践教学条件和环境，提高校内外实训基地整体建设水平。以职业技能培养为目标，积极融合企业的技术、管理和设备，按项目构思区、项目设计区、项目实施区、项目运行区对校内外实训基地（车间）进行建设改造。“十四五”期间，各专业新增29个（每个专业至少1个）以上紧密型、融合性合作企业。</w:t>
      </w:r>
    </w:p>
    <w:p>
      <w:pPr>
        <w:pStyle w:val="6"/>
        <w:jc w:val="center"/>
        <w:rPr>
          <w:rFonts w:hint="eastAsia" w:eastAsia="宋体"/>
          <w:lang w:eastAsia="zh-CN"/>
        </w:rPr>
      </w:pPr>
      <w:bookmarkStart w:id="201" w:name="_Toc1831"/>
      <w:r>
        <w:t xml:space="preserve">表 </w:t>
      </w:r>
      <w:bookmarkStart w:id="202" w:name="_Toc7591"/>
      <w:bookmarkStart w:id="203" w:name="_Toc26888"/>
      <w:r>
        <w:rPr>
          <w:rFonts w:hint="eastAsia"/>
          <w:lang w:val="en-US" w:eastAsia="zh-CN"/>
        </w:rPr>
        <w:t>14</w:t>
      </w:r>
      <w:r>
        <w:rPr>
          <w:rFonts w:hint="eastAsia"/>
          <w:lang w:eastAsia="zh-CN"/>
        </w:rPr>
        <w:t xml:space="preserve">  落实政策表</w:t>
      </w:r>
      <w:bookmarkEnd w:id="201"/>
      <w:bookmarkEnd w:id="202"/>
      <w:bookmarkEnd w:id="203"/>
    </w:p>
    <w:tbl>
      <w:tblPr>
        <w:tblStyle w:val="13"/>
        <w:tblW w:w="882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26"/>
        <w:gridCol w:w="3680"/>
        <w:gridCol w:w="1080"/>
        <w:gridCol w:w="1080"/>
        <w:gridCol w:w="1080"/>
        <w:gridCol w:w="10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826" w:type="dxa"/>
            <w:gridSpan w:val="6"/>
            <w:tcBorders>
              <w:top w:val="nil"/>
              <w:left w:val="nil"/>
              <w:bottom w:val="nil"/>
              <w:right w:val="nil"/>
            </w:tcBorders>
            <w:shd w:val="clear" w:color="auto" w:fill="auto"/>
            <w:noWrap/>
            <w:vAlign w:val="center"/>
          </w:tcPr>
          <w:p>
            <w:pPr>
              <w:keepNext w:val="0"/>
              <w:keepLines w:val="0"/>
              <w:widowControl/>
              <w:suppressLineNumbers w:val="0"/>
              <w:spacing w:line="240" w:lineRule="auto"/>
              <w:jc w:val="left"/>
              <w:textAlignment w:val="center"/>
              <w:rPr>
                <w:rFonts w:ascii="仿宋_GB2312" w:hAnsi="等线" w:eastAsia="仿宋_GB2312" w:cs="仿宋_GB2312"/>
                <w:b/>
                <w:bCs/>
                <w:i w:val="0"/>
                <w:iCs w:val="0"/>
                <w:color w:val="000000"/>
                <w:sz w:val="28"/>
                <w:szCs w:val="28"/>
                <w:u w:val="none"/>
              </w:rPr>
            </w:pPr>
            <w:r>
              <w:rPr>
                <w:rFonts w:hint="eastAsia" w:ascii="宋体" w:hAnsi="宋体" w:eastAsia="宋体" w:cs="宋体"/>
                <w:b/>
                <w:bCs/>
                <w:i w:val="0"/>
                <w:iCs w:val="0"/>
                <w:color w:val="000000"/>
                <w:kern w:val="0"/>
                <w:sz w:val="24"/>
                <w:szCs w:val="24"/>
                <w:u w:val="none"/>
                <w:lang w:val="en-US" w:eastAsia="zh-CN" w:bidi="ar"/>
              </w:rPr>
              <w:t>名称：太湖创意职业技术学院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2022年</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lang w:val="en-US" w:eastAsia="zh-CN"/>
              </w:rPr>
            </w:pPr>
            <w:r>
              <w:rPr>
                <w:rFonts w:hint="eastAsia" w:ascii="宋体" w:hAnsi="宋体" w:eastAsia="宋体" w:cs="宋体"/>
                <w:b/>
                <w:bCs/>
                <w:i w:val="0"/>
                <w:iCs w:val="0"/>
                <w:color w:val="000000"/>
                <w:sz w:val="24"/>
                <w:szCs w:val="24"/>
                <w:u w:val="none"/>
                <w:lang w:val="en-US" w:eastAsia="zh-CN"/>
              </w:rPr>
              <w:t>2023年</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年生均财政拨款水平</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10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年财政专项拨款</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教职员工额定编制数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191</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218</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教职工总数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191</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218</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其中：专任教师总数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126</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153</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企业提供的校内实践教学设备值</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0.00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企业兼职教师年课时总量</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课时</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768</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464</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年支付企业兼职教师课酬</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6.16</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4.18</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年实习专项经费</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22.30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73.70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c>
          <w:tcPr>
            <w:tcW w:w="3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其中：年实习责任保险经费</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万元</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10.60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宋体" w:hAnsi="宋体" w:eastAsia="宋体" w:cs="宋体"/>
                <w:i w:val="0"/>
                <w:iCs w:val="0"/>
                <w:color w:val="000000"/>
                <w:sz w:val="20"/>
                <w:szCs w:val="20"/>
                <w:u w:val="none"/>
                <w:lang w:val="en-US" w:eastAsia="zh-CN"/>
              </w:rPr>
            </w:pPr>
            <w:r>
              <w:rPr>
                <w:rFonts w:hint="eastAsia" w:ascii="宋体" w:hAnsi="宋体" w:cs="宋体"/>
                <w:i w:val="0"/>
                <w:iCs w:val="0"/>
                <w:color w:val="000000"/>
                <w:sz w:val="20"/>
                <w:szCs w:val="20"/>
                <w:u w:val="none"/>
                <w:lang w:val="en-US" w:eastAsia="zh-CN"/>
              </w:rPr>
              <w:t>1.30</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0"/>
                <w:szCs w:val="20"/>
                <w:u w:val="none"/>
              </w:rPr>
            </w:pPr>
          </w:p>
        </w:tc>
      </w:tr>
    </w:tbl>
    <w:p>
      <w:pPr>
        <w:pStyle w:val="12"/>
        <w:keepNext w:val="0"/>
        <w:keepLines w:val="0"/>
        <w:pageBreakBefore w:val="0"/>
        <w:widowControl w:val="0"/>
        <w:kinsoku/>
        <w:wordWrap/>
        <w:overflowPunct/>
        <w:topLinePunct w:val="0"/>
        <w:autoSpaceDE/>
        <w:autoSpaceDN/>
        <w:bidi w:val="0"/>
        <w:adjustRightInd/>
        <w:snapToGrid/>
        <w:spacing w:before="0" w:beforeAutospacing="0" w:after="0" w:afterAutospacing="0" w:line="520" w:lineRule="exact"/>
        <w:ind w:firstLine="560" w:firstLineChars="200"/>
        <w:textAlignment w:val="auto"/>
        <w:outlineLvl w:val="1"/>
        <w:rPr>
          <w:rFonts w:hint="eastAsia" w:ascii="宋体" w:hAnsi="宋体" w:eastAsia="宋体" w:cs="宋体"/>
          <w:kern w:val="2"/>
          <w:sz w:val="28"/>
          <w:szCs w:val="28"/>
          <w:lang w:val="en-US" w:eastAsia="zh-CN" w:bidi="ar-SA"/>
        </w:rPr>
      </w:pPr>
      <w:bookmarkStart w:id="204" w:name="_Toc7328"/>
      <w:bookmarkStart w:id="205" w:name="_Toc9548"/>
      <w:r>
        <w:rPr>
          <w:rFonts w:hint="eastAsia" w:ascii="宋体" w:hAnsi="宋体" w:eastAsia="宋体" w:cs="宋体"/>
          <w:kern w:val="2"/>
          <w:sz w:val="28"/>
          <w:szCs w:val="28"/>
          <w:lang w:val="en-US" w:eastAsia="zh-CN" w:bidi="ar-SA"/>
        </w:rPr>
        <w:t>（2）地方政策落实</w:t>
      </w:r>
      <w:bookmarkEnd w:id="204"/>
      <w:bookmarkEnd w:id="205"/>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我校现设29个专业，其中机电一体化专业、计算机应用技术专业等为学院重点建设专业； 会计专业和艺术设计专业为市级特色专业。专业覆盖面涵盖电子信息大类、土木建筑大类、装备制造大类、财经商贸大类、文化教育大类、旅游大类、文化艺术大类、医药卫生大类、交通运输大类等9大专业门类。为满足社会需求，2021年新增护理和婴幼儿托育服务与管理专业，在2022年新增智慧健康养老服务与管理、集成电路技术、网络营销与直播电商专业。</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在无锡“465”现代产业体系建设中，我院开设的计算机应用技术、计算机网络技术、集成电路技术契合四个地标产业集群；机电一体化技术、机械设计与制造契合六个优势产业集群；在发展建设现有专业的基础上，参照五个未来产业逐步调整专业结构和培养方向。</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在确保优势专业与特色专业的建设的基础上，调整专业结构，优化教育资源，到2025年，将现有的专业设置进行合理的调整，通过调整与重组，实现师资、教学设备、图书资料等教学资源的合理配置和综合利用，充分发挥专业优势，为专业群的进一步发展创造条件。如：针对工程技术学院（工科类）的8个专业，着力重点打造计算机类专业群建设，可以将计算机网络或计算机应用技术作为学院重点建设专业，并在未来带动与其相关的新专业，如：计算机系统与维护专业，数字媒体应用技术专业、物联网应用技术专业等相关专业的发展。集中有限的资金与人力，发展以计算机网络或应用为中心的物联网应用技术，打造计算机应用技术类专业的核心竞争力。</w:t>
      </w:r>
    </w:p>
    <w:p>
      <w:pPr>
        <w:pStyle w:val="6"/>
      </w:pPr>
      <w:bookmarkStart w:id="206" w:name="_Toc21056"/>
    </w:p>
    <w:p/>
    <w:p/>
    <w:p/>
    <w:p/>
    <w:p/>
    <w:p/>
    <w:p/>
    <w:p/>
    <w:p/>
    <w:p/>
    <w:p/>
    <w:p>
      <w:pPr>
        <w:pStyle w:val="6"/>
        <w:spacing w:line="240" w:lineRule="auto"/>
        <w:rPr>
          <w:rFonts w:hint="eastAsia" w:ascii="楷体" w:hAnsi="楷体" w:eastAsia="楷体" w:cs="宋体"/>
          <w:b w:val="0"/>
          <w:bCs/>
          <w:kern w:val="2"/>
          <w:sz w:val="24"/>
          <w:szCs w:val="24"/>
          <w:lang w:val="en-US" w:eastAsia="zh-CN" w:bidi="ar-SA"/>
        </w:rPr>
      </w:pPr>
      <w:bookmarkStart w:id="207" w:name="_Toc12853"/>
      <w:r>
        <w:t xml:space="preserve">案例 7- </w:t>
      </w:r>
      <w:r>
        <w:fldChar w:fldCharType="begin"/>
      </w:r>
      <w:r>
        <w:instrText xml:space="preserve"> SEQ 案例_7- \* ARABIC </w:instrText>
      </w:r>
      <w:r>
        <w:fldChar w:fldCharType="separate"/>
      </w:r>
      <w:r>
        <w:t>2</w:t>
      </w:r>
      <w:r>
        <w:fldChar w:fldCharType="end"/>
      </w:r>
      <w:r>
        <w:rPr>
          <w:rFonts w:hint="eastAsia"/>
          <w:lang w:eastAsia="zh-CN"/>
        </w:rPr>
        <w:t xml:space="preserve">  【太湖创意职业技术学院赴无锡智慧体育产业园调研交流】</w:t>
      </w:r>
      <w:r>
        <w:rPr>
          <w:rFonts w:hint="eastAsia" w:ascii="楷体" w:hAnsi="楷体" w:eastAsia="楷体" w:cs="宋体"/>
          <w:b w:val="0"/>
          <w:bCs/>
          <w:kern w:val="2"/>
          <w:sz w:val="24"/>
          <w:szCs w:val="24"/>
          <w:lang w:val="en-US" w:eastAsia="zh-CN" w:bidi="ar-SA"/>
        </w:rPr>
        <w:t>学校深入推进“特色专业共创”“千企共融平台”“职业人才共育”三大工程，大刀阔斧地进行专业改革和建设，学院发展呈现了新的面貌。智慧健身、电子竞技等行业方兴未艾，具有良好前景，与学校专业有很好的契合度，双方在专业设置和专业教学中展开合作，校企携手，产教融合，共同开发实用教材，联手开展教学；另外也寻求拓展毕业生就业渠道，有更多学生可以来园区就业。</w:t>
      </w:r>
      <w:bookmarkEnd w:id="206"/>
      <w:bookmarkEnd w:id="207"/>
    </w:p>
    <w:p>
      <w:pPr>
        <w:spacing w:line="240" w:lineRule="auto"/>
        <w:rPr>
          <w:rFonts w:hint="eastAsia"/>
          <w:lang w:val="en-US" w:eastAsia="zh-CN"/>
        </w:rPr>
      </w:pPr>
      <w:r>
        <w:rPr>
          <w:rFonts w:hint="eastAsia"/>
          <w:lang w:val="en-US" w:eastAsia="zh-CN"/>
        </w:rPr>
        <w:drawing>
          <wp:anchor distT="0" distB="0" distL="114300" distR="114300" simplePos="0" relativeHeight="251662336" behindDoc="0" locked="0" layoutInCell="1" allowOverlap="1">
            <wp:simplePos x="0" y="0"/>
            <wp:positionH relativeFrom="column">
              <wp:posOffset>73025</wp:posOffset>
            </wp:positionH>
            <wp:positionV relativeFrom="paragraph">
              <wp:posOffset>64135</wp:posOffset>
            </wp:positionV>
            <wp:extent cx="5070475" cy="3107055"/>
            <wp:effectExtent l="0" t="0" r="15875" b="17145"/>
            <wp:wrapTopAndBottom/>
            <wp:docPr id="18" name="图片 18" descr="微信图片_2023011217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30112172800"/>
                    <pic:cNvPicPr>
                      <a:picLocks noChangeAspect="1"/>
                    </pic:cNvPicPr>
                  </pic:nvPicPr>
                  <pic:blipFill>
                    <a:blip r:embed="rId61"/>
                    <a:stretch>
                      <a:fillRect/>
                    </a:stretch>
                  </pic:blipFill>
                  <pic:spPr>
                    <a:xfrm>
                      <a:off x="0" y="0"/>
                      <a:ext cx="5070475" cy="3107055"/>
                    </a:xfrm>
                    <a:prstGeom prst="rect">
                      <a:avLst/>
                    </a:prstGeom>
                  </pic:spPr>
                </pic:pic>
              </a:graphicData>
            </a:graphic>
          </wp:anchor>
        </w:drawing>
      </w:r>
    </w:p>
    <w:p>
      <w:pPr>
        <w:pStyle w:val="6"/>
        <w:spacing w:line="240" w:lineRule="auto"/>
        <w:jc w:val="center"/>
        <w:rPr>
          <w:rFonts w:hint="eastAsia" w:eastAsia="宋体"/>
          <w:lang w:val="en-US" w:eastAsia="zh-CN"/>
        </w:rPr>
      </w:pPr>
      <w:bookmarkStart w:id="208" w:name="_Toc26823"/>
      <w:r>
        <w:t xml:space="preserve">图 </w:t>
      </w:r>
      <w:r>
        <w:fldChar w:fldCharType="begin"/>
      </w:r>
      <w:r>
        <w:instrText xml:space="preserve"> SEQ 图 \* ARABIC </w:instrText>
      </w:r>
      <w:r>
        <w:fldChar w:fldCharType="separate"/>
      </w:r>
      <w:r>
        <w:t>46</w:t>
      </w:r>
      <w:r>
        <w:fldChar w:fldCharType="end"/>
      </w:r>
      <w:bookmarkStart w:id="209" w:name="_Toc9047"/>
      <w:r>
        <w:rPr>
          <w:rFonts w:hint="eastAsia"/>
          <w:lang w:eastAsia="zh-CN"/>
        </w:rPr>
        <w:t xml:space="preserve">  太湖创意职业技术学院赴无锡智慧体育产业园调研交流现场</w:t>
      </w:r>
      <w:bookmarkEnd w:id="208"/>
      <w:bookmarkEnd w:id="209"/>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rPr>
          <w:rFonts w:hint="eastAsia" w:ascii="宋体" w:hAnsi="宋体" w:cs="宋体"/>
          <w:b/>
          <w:bCs/>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210" w:name="_Toc15582"/>
      <w:r>
        <w:rPr>
          <w:rFonts w:hint="eastAsia" w:ascii="宋体" w:hAnsi="宋体" w:cs="宋体"/>
          <w:b/>
          <w:bCs/>
          <w:sz w:val="28"/>
          <w:szCs w:val="28"/>
          <w:lang w:val="en-US" w:eastAsia="zh-CN"/>
        </w:rPr>
        <w:t>7.3办学条件</w:t>
      </w:r>
      <w:bookmarkEnd w:id="210"/>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校党政领导高度重视，定期召开专题党政联席会议，组建了由党政主要领导牵头、相关部门负责人为成员的校战略谋划工作专班。通过对目前学校基础办学条件数据的梳理，对照合格标准，确定目前我校需要立即改进补足的办学条件，同时结合我校“十四五发展规划”中未来三年的发展目标和办学规模，对生源、校舍、师资等办学条件变动情况进行预判，科学推测未来三年达标状况。科学制定建设方案，确保办学条件全程达标。</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校理事会已批准人事部门按照教务处汇总各二级学院报送的师资需求，启动面向社会公开招聘教师的流程。同时优化我校薪酬体系，提高教职工归属感，使得专业人才招得进、留得住。在2023年春季学期补足27名教师数量缺口，使得自有教师数达到153人，外聘教师折算后，生师比可达到合格标准。</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按照目前的招生规模，从2023年9月份开始到2025年，我校在校生规模将基本维持在3500人-4000人之间。按照4000人的学生数计算，将需要198名自有教师。我校将继续实施“人才强校”战略，按照“引培共举、优化结构、提升能力”的原则，加大高层次人才引进、中青年教师培养、优秀团队和“双师型”教师队伍建设力度，积极培育师德师风和“工匠精神”，不断优化师资的学历、职称和年龄结构，着力建设一支师德高尚、业务精湛、结构合理、充满活力的教师队伍。到2025年前后，各专业师资队伍人数、学历和职称结构基本达标，且形成稳定的学科梯队。</w:t>
      </w:r>
    </w:p>
    <w:p>
      <w:pPr>
        <w:pStyle w:val="6"/>
        <w:jc w:val="center"/>
        <w:rPr>
          <w:rFonts w:hint="eastAsia" w:eastAsia="宋体"/>
          <w:lang w:eastAsia="zh-CN"/>
        </w:rPr>
      </w:pPr>
      <w:bookmarkStart w:id="211" w:name="_Toc10896"/>
      <w:r>
        <w:t xml:space="preserve">表 </w:t>
      </w:r>
      <w:bookmarkStart w:id="212" w:name="_Toc8339"/>
      <w:bookmarkStart w:id="213" w:name="_Toc18980"/>
      <w:r>
        <w:rPr>
          <w:rFonts w:hint="eastAsia"/>
          <w:lang w:val="en-US" w:eastAsia="zh-CN"/>
        </w:rPr>
        <w:t>15</w:t>
      </w:r>
      <w:r>
        <w:rPr>
          <w:rFonts w:hint="eastAsia"/>
          <w:lang w:eastAsia="zh-CN"/>
        </w:rPr>
        <w:t xml:space="preserve">  办学条件</w:t>
      </w:r>
      <w:bookmarkEnd w:id="211"/>
      <w:bookmarkEnd w:id="212"/>
      <w:bookmarkEnd w:id="213"/>
    </w:p>
    <w:tbl>
      <w:tblPr>
        <w:tblStyle w:val="13"/>
        <w:tblW w:w="89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793"/>
        <w:gridCol w:w="483"/>
        <w:gridCol w:w="3397"/>
        <w:gridCol w:w="1040"/>
        <w:gridCol w:w="1215"/>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851" w:type="dxa"/>
            <w:shd w:val="clear" w:color="auto" w:fill="auto"/>
            <w:noWrap/>
            <w:vAlign w:val="center"/>
          </w:tcPr>
          <w:p>
            <w:pPr>
              <w:snapToGrid w:val="0"/>
              <w:spacing w:before="0" w:after="0" w:line="240" w:lineRule="auto"/>
              <w:jc w:val="center"/>
              <w:rPr>
                <w:rFonts w:hint="eastAsia" w:ascii="宋体" w:hAnsi="宋体" w:cs="宋体"/>
                <w:b/>
                <w:bCs/>
              </w:rPr>
            </w:pPr>
            <w:r>
              <w:rPr>
                <w:rFonts w:hint="eastAsia" w:ascii="宋体" w:hAnsi="宋体" w:cs="宋体"/>
                <w:b/>
                <w:bCs/>
              </w:rPr>
              <w:t>院校代码</w:t>
            </w:r>
          </w:p>
        </w:tc>
        <w:tc>
          <w:tcPr>
            <w:tcW w:w="793" w:type="dxa"/>
            <w:shd w:val="clear" w:color="auto" w:fill="auto"/>
            <w:noWrap/>
            <w:vAlign w:val="center"/>
          </w:tcPr>
          <w:p>
            <w:pPr>
              <w:snapToGrid w:val="0"/>
              <w:spacing w:before="0" w:after="0" w:line="240" w:lineRule="auto"/>
              <w:jc w:val="center"/>
              <w:rPr>
                <w:rFonts w:hint="eastAsia" w:ascii="宋体" w:hAnsi="宋体" w:cs="宋体"/>
                <w:b/>
                <w:bCs/>
              </w:rPr>
            </w:pPr>
            <w:r>
              <w:rPr>
                <w:rFonts w:hint="eastAsia" w:ascii="宋体" w:hAnsi="宋体" w:cs="宋体"/>
                <w:b/>
                <w:bCs/>
              </w:rPr>
              <w:t>院校名称</w:t>
            </w:r>
          </w:p>
        </w:tc>
        <w:tc>
          <w:tcPr>
            <w:tcW w:w="3880" w:type="dxa"/>
            <w:gridSpan w:val="2"/>
            <w:shd w:val="clear" w:color="auto" w:fill="auto"/>
            <w:noWrap/>
            <w:vAlign w:val="center"/>
          </w:tcPr>
          <w:p>
            <w:pPr>
              <w:snapToGrid w:val="0"/>
              <w:spacing w:before="0" w:after="0" w:line="240" w:lineRule="auto"/>
              <w:rPr>
                <w:rFonts w:hint="eastAsia" w:ascii="宋体" w:hAnsi="宋体" w:cs="宋体"/>
                <w:b/>
                <w:bCs/>
              </w:rPr>
            </w:pPr>
            <w:r>
              <w:rPr>
                <w:rFonts w:hint="eastAsia" w:ascii="宋体" w:hAnsi="宋体" w:cs="宋体"/>
                <w:b/>
                <w:bCs/>
              </w:rPr>
              <w:t>指标</w:t>
            </w:r>
          </w:p>
        </w:tc>
        <w:tc>
          <w:tcPr>
            <w:tcW w:w="1040" w:type="dxa"/>
            <w:shd w:val="clear" w:color="auto" w:fill="auto"/>
            <w:noWrap/>
            <w:vAlign w:val="center"/>
          </w:tcPr>
          <w:p>
            <w:pPr>
              <w:snapToGrid w:val="0"/>
              <w:spacing w:before="0" w:after="0" w:line="240" w:lineRule="auto"/>
              <w:rPr>
                <w:rFonts w:hint="eastAsia" w:ascii="宋体" w:hAnsi="宋体" w:cs="宋体"/>
                <w:b/>
                <w:bCs/>
              </w:rPr>
            </w:pPr>
            <w:r>
              <w:rPr>
                <w:rFonts w:hint="eastAsia" w:ascii="宋体" w:hAnsi="宋体" w:cs="宋体"/>
                <w:b/>
                <w:bCs/>
              </w:rPr>
              <w:t>单位</w:t>
            </w:r>
          </w:p>
        </w:tc>
        <w:tc>
          <w:tcPr>
            <w:tcW w:w="1215" w:type="dxa"/>
            <w:shd w:val="clear" w:color="auto" w:fill="auto"/>
            <w:noWrap/>
            <w:vAlign w:val="center"/>
          </w:tcPr>
          <w:p>
            <w:pPr>
              <w:snapToGrid w:val="0"/>
              <w:spacing w:before="0" w:after="0" w:line="240" w:lineRule="auto"/>
              <w:rPr>
                <w:rFonts w:hint="eastAsia" w:ascii="宋体" w:hAnsi="宋体" w:cs="宋体"/>
                <w:b/>
                <w:bCs/>
              </w:rPr>
            </w:pPr>
            <w:r>
              <w:rPr>
                <w:rFonts w:hint="eastAsia" w:ascii="宋体" w:hAnsi="宋体" w:cs="宋体"/>
                <w:b/>
                <w:bCs/>
              </w:rPr>
              <w:t>20</w:t>
            </w:r>
            <w:r>
              <w:rPr>
                <w:rFonts w:hint="eastAsia" w:ascii="宋体" w:hAnsi="宋体" w:cs="宋体"/>
                <w:b/>
                <w:bCs/>
                <w:lang w:val="en-US" w:eastAsia="zh-CN"/>
              </w:rPr>
              <w:t>22</w:t>
            </w:r>
            <w:r>
              <w:rPr>
                <w:rFonts w:hint="eastAsia" w:ascii="宋体" w:hAnsi="宋体" w:cs="宋体"/>
                <w:b/>
                <w:bCs/>
              </w:rPr>
              <w:t>年</w:t>
            </w:r>
          </w:p>
        </w:tc>
        <w:tc>
          <w:tcPr>
            <w:tcW w:w="1178" w:type="dxa"/>
            <w:shd w:val="clear" w:color="auto" w:fill="auto"/>
            <w:noWrap/>
            <w:vAlign w:val="center"/>
          </w:tcPr>
          <w:p>
            <w:pPr>
              <w:snapToGrid w:val="0"/>
              <w:spacing w:before="0" w:after="0" w:line="240" w:lineRule="auto"/>
              <w:rPr>
                <w:rFonts w:hint="eastAsia" w:ascii="宋体" w:hAnsi="宋体" w:cs="宋体"/>
                <w:b/>
                <w:bCs/>
              </w:rPr>
            </w:pPr>
            <w:r>
              <w:rPr>
                <w:rFonts w:hint="eastAsia" w:ascii="宋体" w:hAnsi="宋体" w:cs="宋体"/>
                <w:b/>
                <w:bCs/>
              </w:rPr>
              <w:t>202</w:t>
            </w:r>
            <w:r>
              <w:rPr>
                <w:rFonts w:hint="eastAsia" w:ascii="宋体" w:hAnsi="宋体" w:cs="宋体"/>
                <w:b/>
                <w:bCs/>
                <w:lang w:val="en-US" w:eastAsia="zh-CN"/>
              </w:rPr>
              <w:t>3</w:t>
            </w:r>
            <w:r>
              <w:rPr>
                <w:rFonts w:hint="eastAsia" w:ascii="宋体" w:hAnsi="宋体" w:cs="宋体"/>
                <w:b/>
                <w:bCs/>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1" w:type="dxa"/>
            <w:vMerge w:val="restart"/>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12918</w:t>
            </w:r>
          </w:p>
        </w:tc>
        <w:tc>
          <w:tcPr>
            <w:tcW w:w="793" w:type="dxa"/>
            <w:vMerge w:val="restart"/>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rPr>
              <w:t>太湖创意职业技术学院</w:t>
            </w:r>
          </w:p>
        </w:tc>
        <w:tc>
          <w:tcPr>
            <w:tcW w:w="483"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1</w:t>
            </w:r>
          </w:p>
        </w:tc>
        <w:tc>
          <w:tcPr>
            <w:tcW w:w="3397"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生均教学科研仪器设备值</w:t>
            </w:r>
          </w:p>
        </w:tc>
        <w:tc>
          <w:tcPr>
            <w:tcW w:w="1040"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元/生</w:t>
            </w:r>
          </w:p>
        </w:tc>
        <w:tc>
          <w:tcPr>
            <w:tcW w:w="1215"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6002.45</w:t>
            </w:r>
          </w:p>
        </w:tc>
        <w:tc>
          <w:tcPr>
            <w:tcW w:w="1178" w:type="dxa"/>
            <w:shd w:val="clear" w:color="auto" w:fill="auto"/>
            <w:noWrap/>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i w:val="0"/>
                <w:iCs w:val="0"/>
                <w:caps w:val="0"/>
                <w:color w:val="333333"/>
                <w:spacing w:val="0"/>
                <w:sz w:val="20"/>
                <w:szCs w:val="20"/>
                <w:shd w:val="clear" w:fill="FFFFFF"/>
              </w:rPr>
              <w:t>4694.39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851" w:type="dxa"/>
            <w:vMerge w:val="continue"/>
            <w:shd w:val="clear" w:color="auto" w:fill="auto"/>
            <w:vAlign w:val="bottom"/>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bottom"/>
          </w:tcPr>
          <w:p>
            <w:pPr>
              <w:snapToGrid w:val="0"/>
              <w:spacing w:before="0" w:after="0" w:line="240" w:lineRule="auto"/>
              <w:rPr>
                <w:rFonts w:hint="eastAsia" w:ascii="宋体" w:hAnsi="宋体" w:eastAsia="宋体" w:cs="宋体"/>
                <w:sz w:val="20"/>
                <w:szCs w:val="20"/>
              </w:rPr>
            </w:pPr>
          </w:p>
        </w:tc>
        <w:tc>
          <w:tcPr>
            <w:tcW w:w="483"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2</w:t>
            </w:r>
          </w:p>
        </w:tc>
        <w:tc>
          <w:tcPr>
            <w:tcW w:w="3397"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生均教学及辅助、行政办公用房面积</w:t>
            </w:r>
          </w:p>
        </w:tc>
        <w:tc>
          <w:tcPr>
            <w:tcW w:w="1040"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m2/生</w:t>
            </w:r>
          </w:p>
        </w:tc>
        <w:tc>
          <w:tcPr>
            <w:tcW w:w="1215"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21.90</w:t>
            </w:r>
          </w:p>
        </w:tc>
        <w:tc>
          <w:tcPr>
            <w:tcW w:w="1178" w:type="dxa"/>
            <w:shd w:val="clear" w:color="auto" w:fill="auto"/>
            <w:noWrap/>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851" w:type="dxa"/>
            <w:vMerge w:val="continue"/>
            <w:shd w:val="clear" w:color="auto" w:fill="auto"/>
            <w:vAlign w:val="bottom"/>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bottom"/>
          </w:tcPr>
          <w:p>
            <w:pPr>
              <w:snapToGrid w:val="0"/>
              <w:spacing w:before="0" w:after="0" w:line="240" w:lineRule="auto"/>
              <w:rPr>
                <w:rFonts w:hint="eastAsia" w:ascii="宋体" w:hAnsi="宋体" w:eastAsia="宋体" w:cs="宋体"/>
                <w:sz w:val="20"/>
                <w:szCs w:val="20"/>
              </w:rPr>
            </w:pPr>
          </w:p>
        </w:tc>
        <w:tc>
          <w:tcPr>
            <w:tcW w:w="483"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3</w:t>
            </w:r>
          </w:p>
        </w:tc>
        <w:tc>
          <w:tcPr>
            <w:tcW w:w="3397"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生均校内实践教学工位数</w:t>
            </w:r>
          </w:p>
        </w:tc>
        <w:tc>
          <w:tcPr>
            <w:tcW w:w="1040"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个/生</w:t>
            </w:r>
          </w:p>
        </w:tc>
        <w:tc>
          <w:tcPr>
            <w:tcW w:w="1215"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0.71</w:t>
            </w:r>
          </w:p>
        </w:tc>
        <w:tc>
          <w:tcPr>
            <w:tcW w:w="1178" w:type="dxa"/>
            <w:shd w:val="clear" w:color="auto" w:fill="auto"/>
            <w:noWrap/>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851" w:type="dxa"/>
            <w:vMerge w:val="continue"/>
            <w:shd w:val="clear" w:color="auto" w:fill="auto"/>
            <w:vAlign w:val="bottom"/>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bottom"/>
          </w:tcPr>
          <w:p>
            <w:pPr>
              <w:snapToGrid w:val="0"/>
              <w:spacing w:before="0" w:after="0" w:line="240" w:lineRule="auto"/>
              <w:rPr>
                <w:rFonts w:hint="eastAsia" w:ascii="宋体" w:hAnsi="宋体" w:eastAsia="宋体" w:cs="宋体"/>
                <w:sz w:val="20"/>
                <w:szCs w:val="20"/>
              </w:rPr>
            </w:pPr>
          </w:p>
        </w:tc>
        <w:tc>
          <w:tcPr>
            <w:tcW w:w="483" w:type="dxa"/>
            <w:vMerge w:val="restart"/>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4</w:t>
            </w:r>
          </w:p>
        </w:tc>
        <w:tc>
          <w:tcPr>
            <w:tcW w:w="3397"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年生均财政拨款水平</w:t>
            </w:r>
          </w:p>
        </w:tc>
        <w:tc>
          <w:tcPr>
            <w:tcW w:w="1040"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元</w:t>
            </w:r>
          </w:p>
        </w:tc>
        <w:tc>
          <w:tcPr>
            <w:tcW w:w="1215"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0</w:t>
            </w:r>
          </w:p>
        </w:tc>
        <w:tc>
          <w:tcPr>
            <w:tcW w:w="1178" w:type="dxa"/>
            <w:shd w:val="clear" w:color="auto" w:fill="auto"/>
            <w:noWrap/>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851"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48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3397" w:type="dxa"/>
            <w:shd w:val="clear" w:color="auto" w:fill="auto"/>
            <w:noWrap/>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其中：年生均财政专项经费</w:t>
            </w:r>
          </w:p>
        </w:tc>
        <w:tc>
          <w:tcPr>
            <w:tcW w:w="1040"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元</w:t>
            </w:r>
          </w:p>
        </w:tc>
        <w:tc>
          <w:tcPr>
            <w:tcW w:w="1215"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0</w:t>
            </w:r>
          </w:p>
        </w:tc>
        <w:tc>
          <w:tcPr>
            <w:tcW w:w="1178" w:type="dxa"/>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851"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483"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5</w:t>
            </w:r>
          </w:p>
        </w:tc>
        <w:tc>
          <w:tcPr>
            <w:tcW w:w="3397"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企业提供的校内实践教学设备值</w:t>
            </w:r>
          </w:p>
        </w:tc>
        <w:tc>
          <w:tcPr>
            <w:tcW w:w="1040"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万元</w:t>
            </w:r>
          </w:p>
        </w:tc>
        <w:tc>
          <w:tcPr>
            <w:tcW w:w="1215"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0</w:t>
            </w:r>
          </w:p>
        </w:tc>
        <w:tc>
          <w:tcPr>
            <w:tcW w:w="1178" w:type="dxa"/>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851"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483"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6</w:t>
            </w:r>
          </w:p>
        </w:tc>
        <w:tc>
          <w:tcPr>
            <w:tcW w:w="3397"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年生均校外实训基地实习时间</w:t>
            </w:r>
          </w:p>
        </w:tc>
        <w:tc>
          <w:tcPr>
            <w:tcW w:w="1040"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人时</w:t>
            </w:r>
          </w:p>
        </w:tc>
        <w:tc>
          <w:tcPr>
            <w:tcW w:w="1215"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320</w:t>
            </w:r>
          </w:p>
        </w:tc>
        <w:tc>
          <w:tcPr>
            <w:tcW w:w="1178" w:type="dxa"/>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851"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483" w:type="dxa"/>
            <w:vMerge w:val="restart"/>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7</w:t>
            </w:r>
          </w:p>
        </w:tc>
        <w:tc>
          <w:tcPr>
            <w:tcW w:w="3397"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生均企业实习经费补贴</w:t>
            </w:r>
          </w:p>
        </w:tc>
        <w:tc>
          <w:tcPr>
            <w:tcW w:w="1040"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元</w:t>
            </w:r>
          </w:p>
        </w:tc>
        <w:tc>
          <w:tcPr>
            <w:tcW w:w="1215"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350</w:t>
            </w:r>
          </w:p>
        </w:tc>
        <w:tc>
          <w:tcPr>
            <w:tcW w:w="1178" w:type="dxa"/>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851"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48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3397"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其中：生均财政专项补贴</w:t>
            </w:r>
          </w:p>
        </w:tc>
        <w:tc>
          <w:tcPr>
            <w:tcW w:w="1040"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元</w:t>
            </w:r>
          </w:p>
        </w:tc>
        <w:tc>
          <w:tcPr>
            <w:tcW w:w="1215" w:type="dxa"/>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0</w:t>
            </w:r>
          </w:p>
        </w:tc>
        <w:tc>
          <w:tcPr>
            <w:tcW w:w="1178" w:type="dxa"/>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851"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483" w:type="dxa"/>
            <w:vMerge w:val="restart"/>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8</w:t>
            </w:r>
          </w:p>
        </w:tc>
        <w:tc>
          <w:tcPr>
            <w:tcW w:w="3397"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生均企业实习责任保险补贴</w:t>
            </w:r>
          </w:p>
        </w:tc>
        <w:tc>
          <w:tcPr>
            <w:tcW w:w="1040"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元</w:t>
            </w:r>
          </w:p>
        </w:tc>
        <w:tc>
          <w:tcPr>
            <w:tcW w:w="1215"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lang w:val="en-US" w:eastAsia="zh-CN"/>
              </w:rPr>
              <w:t>550</w:t>
            </w:r>
          </w:p>
        </w:tc>
        <w:tc>
          <w:tcPr>
            <w:tcW w:w="1178" w:type="dxa"/>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851"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48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3397"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其中：生均财政专项补贴</w:t>
            </w:r>
          </w:p>
        </w:tc>
        <w:tc>
          <w:tcPr>
            <w:tcW w:w="1040"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元</w:t>
            </w:r>
          </w:p>
        </w:tc>
        <w:tc>
          <w:tcPr>
            <w:tcW w:w="1215" w:type="dxa"/>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0</w:t>
            </w:r>
          </w:p>
        </w:tc>
        <w:tc>
          <w:tcPr>
            <w:tcW w:w="1178" w:type="dxa"/>
            <w:shd w:val="clear" w:color="auto" w:fill="auto"/>
            <w:vAlign w:val="center"/>
          </w:tcPr>
          <w:p>
            <w:pPr>
              <w:snapToGrid w:val="0"/>
              <w:spacing w:before="0" w:after="0" w:line="240" w:lineRule="auto"/>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851"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793" w:type="dxa"/>
            <w:vMerge w:val="continue"/>
            <w:shd w:val="clear" w:color="auto" w:fill="auto"/>
            <w:vAlign w:val="center"/>
          </w:tcPr>
          <w:p>
            <w:pPr>
              <w:snapToGrid w:val="0"/>
              <w:spacing w:before="0" w:after="0" w:line="240" w:lineRule="auto"/>
              <w:rPr>
                <w:rFonts w:hint="eastAsia" w:ascii="宋体" w:hAnsi="宋体" w:eastAsia="宋体" w:cs="宋体"/>
                <w:sz w:val="20"/>
                <w:szCs w:val="20"/>
              </w:rPr>
            </w:pPr>
          </w:p>
        </w:tc>
        <w:tc>
          <w:tcPr>
            <w:tcW w:w="483" w:type="dxa"/>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7</w:t>
            </w:r>
          </w:p>
        </w:tc>
        <w:tc>
          <w:tcPr>
            <w:tcW w:w="4437" w:type="dxa"/>
            <w:gridSpan w:val="2"/>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 xml:space="preserve">主要办学经费来源（单选）： </w:t>
            </w:r>
          </w:p>
        </w:tc>
        <w:tc>
          <w:tcPr>
            <w:tcW w:w="2393" w:type="dxa"/>
            <w:gridSpan w:val="2"/>
            <w:shd w:val="clear" w:color="auto" w:fill="auto"/>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省级（）        地市级（）</w:t>
            </w:r>
          </w:p>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行业或企业（）          其他（√）</w:t>
            </w:r>
          </w:p>
        </w:tc>
      </w:tr>
    </w:tbl>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院始终认为学院的重心在质量立校、人才强校、特色兴校、强化内涵建设上，2014年，创意学院从与无锡太湖学院统一校园统一管理体制的状态下分离出来独立办学，现拥产权土地面积10.2232万平方米、非产权独立使用面积16.3268万平方米，产权建筑面积5.6万平方米、非产权独立使用建筑面积5.0783万平方米。布局基本合理、功能齐全、设施齐全的校区，基本满足学院的办学条件（见表3）。</w:t>
      </w:r>
    </w:p>
    <w:p>
      <w:pPr>
        <w:pStyle w:val="6"/>
        <w:jc w:val="center"/>
        <w:rPr>
          <w:rFonts w:hint="eastAsia" w:eastAsia="宋体"/>
          <w:lang w:eastAsia="zh-CN"/>
        </w:rPr>
      </w:pPr>
      <w:bookmarkStart w:id="214" w:name="_Toc20139"/>
      <w:r>
        <w:t xml:space="preserve">表 </w:t>
      </w:r>
      <w:bookmarkStart w:id="215" w:name="_Toc9791"/>
      <w:bookmarkStart w:id="216" w:name="_Toc26535"/>
      <w:r>
        <w:rPr>
          <w:rFonts w:hint="eastAsia"/>
          <w:lang w:val="en-US" w:eastAsia="zh-CN"/>
        </w:rPr>
        <w:t>16</w:t>
      </w:r>
      <w:r>
        <w:rPr>
          <w:rFonts w:hint="eastAsia"/>
          <w:lang w:eastAsia="zh-CN"/>
        </w:rPr>
        <w:t xml:space="preserve">  学校硬件基本情况</w:t>
      </w:r>
      <w:bookmarkEnd w:id="214"/>
      <w:bookmarkEnd w:id="215"/>
      <w:bookmarkEnd w:id="216"/>
    </w:p>
    <w:tbl>
      <w:tblPr>
        <w:tblStyle w:val="13"/>
        <w:tblpPr w:leftFromText="180" w:rightFromText="180" w:vertAnchor="text" w:horzAnchor="page" w:tblpX="1935" w:tblpY="47"/>
        <w:tblOverlap w:val="never"/>
        <w:tblW w:w="83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3"/>
        <w:gridCol w:w="3465"/>
        <w:gridCol w:w="1411"/>
        <w:gridCol w:w="1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noWrap w:val="0"/>
            <w:vAlign w:val="center"/>
          </w:tcPr>
          <w:p>
            <w:pPr>
              <w:snapToGrid w:val="0"/>
              <w:spacing w:before="0" w:after="0" w:line="240" w:lineRule="auto"/>
              <w:rPr>
                <w:rFonts w:hint="eastAsia" w:ascii="宋体" w:hAnsi="宋体" w:cs="宋体"/>
                <w:lang w:val="en-US" w:eastAsia="zh-CN"/>
              </w:rPr>
            </w:pPr>
          </w:p>
        </w:tc>
        <w:tc>
          <w:tcPr>
            <w:tcW w:w="3465" w:type="dxa"/>
            <w:noWrap w:val="0"/>
            <w:vAlign w:val="center"/>
          </w:tcPr>
          <w:p>
            <w:pPr>
              <w:snapToGrid w:val="0"/>
              <w:spacing w:before="0" w:after="0" w:line="240" w:lineRule="auto"/>
              <w:jc w:val="center"/>
              <w:rPr>
                <w:rFonts w:hint="eastAsia" w:ascii="宋体" w:hAnsi="宋体" w:cs="宋体"/>
                <w:b/>
                <w:bCs/>
                <w:lang w:val="en-US" w:eastAsia="zh-CN"/>
              </w:rPr>
            </w:pPr>
            <w:r>
              <w:rPr>
                <w:rFonts w:hint="eastAsia" w:ascii="宋体" w:hAnsi="宋体" w:cs="宋体"/>
                <w:b/>
                <w:bCs/>
                <w:lang w:val="en-US" w:eastAsia="zh-CN"/>
              </w:rPr>
              <w:t>主 要 类 别</w:t>
            </w:r>
          </w:p>
        </w:tc>
        <w:tc>
          <w:tcPr>
            <w:tcW w:w="1411" w:type="dxa"/>
            <w:noWrap w:val="0"/>
            <w:vAlign w:val="top"/>
          </w:tcPr>
          <w:p>
            <w:pPr>
              <w:snapToGrid w:val="0"/>
              <w:spacing w:before="0" w:after="0" w:line="240" w:lineRule="auto"/>
              <w:jc w:val="center"/>
              <w:rPr>
                <w:rFonts w:hint="eastAsia" w:ascii="宋体" w:hAnsi="宋体" w:cs="宋体"/>
                <w:b/>
                <w:bCs/>
                <w:lang w:val="en-US" w:eastAsia="zh-CN"/>
              </w:rPr>
            </w:pPr>
            <w:r>
              <w:rPr>
                <w:rFonts w:hint="eastAsia" w:ascii="宋体" w:hAnsi="宋体" w:cs="宋体"/>
                <w:b/>
                <w:bCs/>
                <w:lang w:val="en-US" w:eastAsia="zh-CN"/>
              </w:rPr>
              <w:t>2022年</w:t>
            </w:r>
          </w:p>
        </w:tc>
        <w:tc>
          <w:tcPr>
            <w:tcW w:w="1411" w:type="dxa"/>
            <w:noWrap w:val="0"/>
            <w:vAlign w:val="top"/>
          </w:tcPr>
          <w:p>
            <w:pPr>
              <w:snapToGrid w:val="0"/>
              <w:spacing w:before="0" w:after="0" w:line="240" w:lineRule="auto"/>
              <w:jc w:val="center"/>
              <w:rPr>
                <w:rFonts w:hint="default" w:ascii="宋体" w:hAnsi="宋体" w:cs="宋体"/>
                <w:b/>
                <w:bCs/>
                <w:lang w:val="en-US" w:eastAsia="zh-CN"/>
              </w:rPr>
            </w:pPr>
            <w:r>
              <w:rPr>
                <w:rFonts w:hint="eastAsia" w:ascii="宋体" w:hAnsi="宋体" w:cs="宋体"/>
                <w:b/>
                <w:bCs/>
                <w:lang w:val="en-US" w:eastAsia="zh-CN"/>
              </w:rPr>
              <w:t>2023年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restart"/>
            <w:noWrap w:val="0"/>
            <w:vAlign w:val="center"/>
          </w:tcPr>
          <w:p>
            <w:pPr>
              <w:snapToGrid w:val="0"/>
              <w:spacing w:before="0" w:after="0" w:line="240" w:lineRule="auto"/>
              <w:rPr>
                <w:rFonts w:hint="eastAsia" w:ascii="宋体" w:hAnsi="宋体" w:cs="宋体"/>
                <w:b/>
                <w:bCs/>
                <w:sz w:val="20"/>
                <w:szCs w:val="20"/>
                <w:lang w:val="en-US" w:eastAsia="zh-CN"/>
              </w:rPr>
            </w:pPr>
            <w:r>
              <w:rPr>
                <w:rFonts w:hint="eastAsia" w:ascii="宋体" w:hAnsi="宋体" w:cs="宋体"/>
                <w:b/>
                <w:bCs/>
                <w:sz w:val="20"/>
                <w:szCs w:val="20"/>
                <w:lang w:val="en-US" w:eastAsia="zh-CN"/>
              </w:rPr>
              <w:t>占地、建筑面积</w:t>
            </w: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占地面积（平方米）</w:t>
            </w:r>
          </w:p>
        </w:tc>
        <w:tc>
          <w:tcPr>
            <w:tcW w:w="1411" w:type="dxa"/>
            <w:noWrap w:val="0"/>
            <w:vAlign w:val="top"/>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189198.00</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265500.00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continue"/>
            <w:noWrap w:val="0"/>
            <w:vAlign w:val="center"/>
          </w:tcPr>
          <w:p>
            <w:pPr>
              <w:snapToGrid w:val="0"/>
              <w:spacing w:before="0" w:after="0" w:line="240" w:lineRule="auto"/>
              <w:rPr>
                <w:rFonts w:hint="eastAsia" w:ascii="宋体" w:hAnsi="宋体" w:cs="宋体"/>
                <w:b/>
                <w:bCs/>
                <w:sz w:val="20"/>
                <w:szCs w:val="20"/>
                <w:lang w:val="en-US" w:eastAsia="zh-CN"/>
              </w:rPr>
            </w:pP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总建筑面积（平方米）</w:t>
            </w:r>
          </w:p>
        </w:tc>
        <w:tc>
          <w:tcPr>
            <w:tcW w:w="1411" w:type="dxa"/>
            <w:noWrap w:val="0"/>
            <w:vAlign w:val="top"/>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76691.94</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106787.42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continue"/>
            <w:noWrap w:val="0"/>
            <w:vAlign w:val="center"/>
          </w:tcPr>
          <w:p>
            <w:pPr>
              <w:snapToGrid w:val="0"/>
              <w:spacing w:before="0" w:after="0" w:line="240" w:lineRule="auto"/>
              <w:rPr>
                <w:rFonts w:hint="eastAsia" w:ascii="宋体" w:hAnsi="宋体" w:cs="宋体"/>
                <w:b/>
                <w:bCs/>
                <w:sz w:val="20"/>
                <w:szCs w:val="20"/>
                <w:lang w:val="en-US" w:eastAsia="zh-CN"/>
              </w:rPr>
            </w:pP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教学科研及辅助用房（平方米）</w:t>
            </w:r>
          </w:p>
        </w:tc>
        <w:tc>
          <w:tcPr>
            <w:tcW w:w="1411" w:type="dxa"/>
            <w:noWrap w:val="0"/>
            <w:vAlign w:val="top"/>
          </w:tcPr>
          <w:p>
            <w:pPr>
              <w:snapToGrid w:val="0"/>
              <w:spacing w:before="0" w:after="0" w:line="240" w:lineRule="auto"/>
              <w:rPr>
                <w:rFonts w:hint="default" w:ascii="宋体" w:hAnsi="宋体" w:cs="宋体"/>
                <w:sz w:val="20"/>
                <w:szCs w:val="20"/>
                <w:lang w:val="en-US" w:eastAsia="zh-CN"/>
              </w:rPr>
            </w:pPr>
            <w:r>
              <w:rPr>
                <w:rFonts w:hint="eastAsia" w:ascii="宋体" w:hAnsi="宋体" w:cs="宋体"/>
                <w:kern w:val="2"/>
                <w:sz w:val="20"/>
                <w:szCs w:val="20"/>
                <w:lang w:val="en-US" w:eastAsia="zh-CN" w:bidi="ar-SA"/>
              </w:rPr>
              <w:t>48842.00</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71162.00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continue"/>
            <w:noWrap w:val="0"/>
            <w:vAlign w:val="center"/>
          </w:tcPr>
          <w:p>
            <w:pPr>
              <w:snapToGrid w:val="0"/>
              <w:spacing w:before="0" w:after="0" w:line="240" w:lineRule="auto"/>
              <w:rPr>
                <w:rFonts w:hint="eastAsia" w:ascii="宋体" w:hAnsi="宋体" w:cs="宋体"/>
                <w:b/>
                <w:bCs/>
                <w:sz w:val="20"/>
                <w:szCs w:val="20"/>
                <w:lang w:val="en-US" w:eastAsia="zh-CN"/>
              </w:rPr>
            </w:pP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生活用房（平方米）</w:t>
            </w:r>
          </w:p>
        </w:tc>
        <w:tc>
          <w:tcPr>
            <w:tcW w:w="1411" w:type="dxa"/>
            <w:noWrap w:val="0"/>
            <w:vAlign w:val="top"/>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27011.94</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34787.42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restart"/>
            <w:noWrap w:val="0"/>
            <w:vAlign w:val="center"/>
          </w:tcPr>
          <w:p>
            <w:pPr>
              <w:snapToGrid w:val="0"/>
              <w:spacing w:before="0" w:after="0" w:line="240" w:lineRule="auto"/>
              <w:rPr>
                <w:rFonts w:hint="eastAsia" w:ascii="宋体" w:hAnsi="宋体" w:cs="宋体"/>
                <w:b/>
                <w:bCs/>
                <w:sz w:val="20"/>
                <w:szCs w:val="20"/>
                <w:lang w:val="en-US" w:eastAsia="zh-CN"/>
              </w:rPr>
            </w:pPr>
            <w:r>
              <w:rPr>
                <w:rFonts w:hint="eastAsia" w:ascii="宋体" w:hAnsi="宋体" w:cs="宋体"/>
                <w:b/>
                <w:bCs/>
                <w:sz w:val="20"/>
                <w:szCs w:val="20"/>
                <w:lang w:val="en-US" w:eastAsia="zh-CN"/>
              </w:rPr>
              <w:t>馆藏图书资料</w:t>
            </w: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纸质图书（万册）</w:t>
            </w:r>
          </w:p>
        </w:tc>
        <w:tc>
          <w:tcPr>
            <w:tcW w:w="1411" w:type="dxa"/>
            <w:noWrap w:val="0"/>
            <w:vAlign w:val="top"/>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20.20</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22.80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continue"/>
            <w:noWrap w:val="0"/>
            <w:vAlign w:val="center"/>
          </w:tcPr>
          <w:p>
            <w:pPr>
              <w:snapToGrid w:val="0"/>
              <w:spacing w:before="0" w:after="0" w:line="240" w:lineRule="auto"/>
              <w:rPr>
                <w:rFonts w:hint="eastAsia" w:ascii="宋体" w:hAnsi="宋体" w:cs="宋体"/>
                <w:b/>
                <w:bCs/>
                <w:sz w:val="20"/>
                <w:szCs w:val="20"/>
                <w:lang w:val="en-US" w:eastAsia="zh-CN"/>
              </w:rPr>
            </w:pP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纸质期刊（种）</w:t>
            </w:r>
          </w:p>
        </w:tc>
        <w:tc>
          <w:tcPr>
            <w:tcW w:w="1411" w:type="dxa"/>
            <w:noWrap w:val="0"/>
            <w:vAlign w:val="top"/>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750</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continue"/>
            <w:noWrap w:val="0"/>
            <w:vAlign w:val="center"/>
          </w:tcPr>
          <w:p>
            <w:pPr>
              <w:snapToGrid w:val="0"/>
              <w:spacing w:before="0" w:after="0" w:line="240" w:lineRule="auto"/>
              <w:rPr>
                <w:rFonts w:hint="eastAsia" w:ascii="宋体" w:hAnsi="宋体" w:cs="宋体"/>
                <w:b/>
                <w:bCs/>
                <w:sz w:val="20"/>
                <w:szCs w:val="20"/>
                <w:lang w:val="en-US" w:eastAsia="zh-CN"/>
              </w:rPr>
            </w:pP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电子专业期刊（种）</w:t>
            </w:r>
          </w:p>
        </w:tc>
        <w:tc>
          <w:tcPr>
            <w:tcW w:w="1411" w:type="dxa"/>
            <w:noWrap w:val="0"/>
            <w:vAlign w:val="top"/>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3879</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3879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continue"/>
            <w:noWrap w:val="0"/>
            <w:vAlign w:val="center"/>
          </w:tcPr>
          <w:p>
            <w:pPr>
              <w:snapToGrid w:val="0"/>
              <w:spacing w:before="0" w:after="0" w:line="240" w:lineRule="auto"/>
              <w:rPr>
                <w:rFonts w:hint="eastAsia" w:ascii="宋体" w:hAnsi="宋体" w:cs="宋体"/>
                <w:b/>
                <w:bCs/>
                <w:sz w:val="20"/>
                <w:szCs w:val="20"/>
                <w:lang w:val="en-US" w:eastAsia="zh-CN"/>
              </w:rPr>
            </w:pP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电子图书（GB）</w:t>
            </w:r>
          </w:p>
        </w:tc>
        <w:tc>
          <w:tcPr>
            <w:tcW w:w="1411" w:type="dxa"/>
            <w:noWrap w:val="0"/>
            <w:vAlign w:val="top"/>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1210</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1210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restart"/>
            <w:noWrap w:val="0"/>
            <w:vAlign w:val="center"/>
          </w:tcPr>
          <w:p>
            <w:pPr>
              <w:snapToGrid w:val="0"/>
              <w:spacing w:before="0" w:after="0" w:line="240" w:lineRule="auto"/>
              <w:rPr>
                <w:rFonts w:hint="eastAsia" w:ascii="宋体" w:hAnsi="宋体" w:cs="宋体"/>
                <w:b/>
                <w:bCs/>
                <w:sz w:val="20"/>
                <w:szCs w:val="20"/>
                <w:lang w:val="en-US" w:eastAsia="zh-CN"/>
              </w:rPr>
            </w:pPr>
            <w:r>
              <w:rPr>
                <w:rFonts w:hint="eastAsia" w:ascii="宋体" w:hAnsi="宋体" w:cs="宋体"/>
                <w:b/>
                <w:bCs/>
                <w:sz w:val="20"/>
                <w:szCs w:val="20"/>
                <w:lang w:val="en-US" w:eastAsia="zh-CN"/>
              </w:rPr>
              <w:t>信息化建设</w:t>
            </w: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网络信息点数（个）</w:t>
            </w:r>
          </w:p>
        </w:tc>
        <w:tc>
          <w:tcPr>
            <w:tcW w:w="1411" w:type="dxa"/>
            <w:noWrap w:val="0"/>
            <w:vAlign w:val="top"/>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380</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continue"/>
            <w:noWrap w:val="0"/>
            <w:vAlign w:val="center"/>
          </w:tcPr>
          <w:p>
            <w:pPr>
              <w:snapToGrid w:val="0"/>
              <w:spacing w:before="0" w:after="0" w:line="240" w:lineRule="auto"/>
              <w:rPr>
                <w:rFonts w:hint="eastAsia" w:ascii="宋体" w:hAnsi="宋体" w:cs="宋体"/>
                <w:b/>
                <w:bCs/>
                <w:sz w:val="20"/>
                <w:szCs w:val="20"/>
                <w:lang w:val="en-US" w:eastAsia="zh-CN"/>
              </w:rPr>
            </w:pP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上网课程数（门）</w:t>
            </w:r>
          </w:p>
        </w:tc>
        <w:tc>
          <w:tcPr>
            <w:tcW w:w="1411" w:type="dxa"/>
            <w:noWrap w:val="0"/>
            <w:vAlign w:val="top"/>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55</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continue"/>
            <w:noWrap w:val="0"/>
            <w:vAlign w:val="center"/>
          </w:tcPr>
          <w:p>
            <w:pPr>
              <w:snapToGrid w:val="0"/>
              <w:spacing w:before="0" w:after="0" w:line="240" w:lineRule="auto"/>
              <w:rPr>
                <w:rFonts w:hint="eastAsia" w:ascii="宋体" w:hAnsi="宋体" w:cs="宋体"/>
                <w:b/>
                <w:bCs/>
                <w:sz w:val="20"/>
                <w:szCs w:val="20"/>
                <w:lang w:val="en-US" w:eastAsia="zh-CN"/>
              </w:rPr>
            </w:pP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数字资源量（GB）</w:t>
            </w:r>
          </w:p>
        </w:tc>
        <w:tc>
          <w:tcPr>
            <w:tcW w:w="1411" w:type="dxa"/>
            <w:noWrap w:val="0"/>
            <w:vAlign w:val="top"/>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1210</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1210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restart"/>
            <w:noWrap w:val="0"/>
            <w:vAlign w:val="center"/>
          </w:tcPr>
          <w:p>
            <w:pPr>
              <w:snapToGrid w:val="0"/>
              <w:spacing w:before="0" w:after="0" w:line="240" w:lineRule="auto"/>
              <w:rPr>
                <w:rFonts w:hint="eastAsia" w:ascii="宋体" w:hAnsi="宋体" w:cs="宋体"/>
                <w:b/>
                <w:bCs/>
                <w:sz w:val="20"/>
                <w:szCs w:val="20"/>
                <w:lang w:val="en-US" w:eastAsia="zh-CN"/>
              </w:rPr>
            </w:pPr>
            <w:r>
              <w:rPr>
                <w:rFonts w:hint="eastAsia" w:ascii="宋体" w:hAnsi="宋体" w:cs="宋体"/>
                <w:b/>
                <w:bCs/>
                <w:sz w:val="20"/>
                <w:szCs w:val="20"/>
                <w:lang w:val="en-US" w:eastAsia="zh-CN"/>
              </w:rPr>
              <w:t>固定资产</w:t>
            </w: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全校总值（万元）</w:t>
            </w:r>
          </w:p>
        </w:tc>
        <w:tc>
          <w:tcPr>
            <w:tcW w:w="1411" w:type="dxa"/>
            <w:noWrap w:val="0"/>
            <w:vAlign w:val="top"/>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17936.20</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18314.1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3" w:type="dxa"/>
            <w:vMerge w:val="continue"/>
            <w:noWrap w:val="0"/>
            <w:vAlign w:val="center"/>
          </w:tcPr>
          <w:p>
            <w:pPr>
              <w:snapToGrid w:val="0"/>
              <w:spacing w:before="0" w:after="0" w:line="240" w:lineRule="auto"/>
              <w:rPr>
                <w:rFonts w:hint="eastAsia" w:ascii="宋体" w:hAnsi="宋体" w:cs="宋体"/>
                <w:sz w:val="20"/>
                <w:szCs w:val="20"/>
                <w:lang w:val="en-US" w:eastAsia="zh-CN"/>
              </w:rPr>
            </w:pPr>
          </w:p>
        </w:tc>
        <w:tc>
          <w:tcPr>
            <w:tcW w:w="3465" w:type="dxa"/>
            <w:noWrap w:val="0"/>
            <w:vAlign w:val="center"/>
          </w:tcPr>
          <w:p>
            <w:pPr>
              <w:snapToGrid w:val="0"/>
              <w:spacing w:before="0" w:after="0" w:line="240" w:lineRule="auto"/>
              <w:rPr>
                <w:rFonts w:hint="eastAsia" w:ascii="宋体" w:hAnsi="宋体" w:cs="宋体"/>
                <w:sz w:val="20"/>
                <w:szCs w:val="20"/>
                <w:lang w:val="en-US" w:eastAsia="zh-CN"/>
              </w:rPr>
            </w:pPr>
            <w:r>
              <w:rPr>
                <w:rFonts w:hint="eastAsia" w:ascii="宋体" w:hAnsi="宋体" w:cs="宋体"/>
                <w:sz w:val="20"/>
                <w:szCs w:val="20"/>
                <w:lang w:val="en-US" w:eastAsia="zh-CN"/>
              </w:rPr>
              <w:t>教学、科研仪器设备总值（万元）</w:t>
            </w:r>
          </w:p>
        </w:tc>
        <w:tc>
          <w:tcPr>
            <w:tcW w:w="1411" w:type="dxa"/>
            <w:noWrap w:val="0"/>
            <w:vAlign w:val="top"/>
          </w:tcPr>
          <w:p>
            <w:pPr>
              <w:snapToGrid w:val="0"/>
              <w:spacing w:before="0" w:after="0" w:line="240" w:lineRule="auto"/>
              <w:rPr>
                <w:rFonts w:hint="default" w:ascii="宋体" w:hAnsi="宋体" w:cs="宋体"/>
                <w:sz w:val="20"/>
                <w:szCs w:val="20"/>
                <w:lang w:val="en-US" w:eastAsia="zh-CN"/>
              </w:rPr>
            </w:pPr>
            <w:r>
              <w:rPr>
                <w:rFonts w:hint="eastAsia" w:ascii="宋体" w:hAnsi="宋体" w:cs="宋体"/>
                <w:sz w:val="20"/>
                <w:szCs w:val="20"/>
                <w:lang w:val="en-US" w:eastAsia="zh-CN"/>
              </w:rPr>
              <w:t>1324.14</w:t>
            </w:r>
          </w:p>
        </w:tc>
        <w:tc>
          <w:tcPr>
            <w:tcW w:w="1411" w:type="dxa"/>
            <w:noWrap w:val="0"/>
            <w:vAlign w:val="top"/>
          </w:tcPr>
          <w:p>
            <w:pPr>
              <w:snapToGrid w:val="0"/>
              <w:spacing w:before="0" w:after="0" w:line="240" w:lineRule="auto"/>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1457.14</w:t>
            </w:r>
          </w:p>
        </w:tc>
      </w:tr>
    </w:tbl>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近年来，学院持续加大人才培养基本建设的投入，办学条件不断改善，各项关键指标达到教育部规定的基本办学条件指标（见表4）。</w:t>
      </w:r>
    </w:p>
    <w:p>
      <w:pPr>
        <w:pStyle w:val="6"/>
        <w:jc w:val="center"/>
        <w:rPr>
          <w:rFonts w:hint="eastAsia" w:eastAsia="宋体"/>
          <w:lang w:eastAsia="zh-CN"/>
        </w:rPr>
      </w:pPr>
      <w:bookmarkStart w:id="217" w:name="_Toc6183"/>
      <w:r>
        <w:t xml:space="preserve">表 </w:t>
      </w:r>
      <w:bookmarkStart w:id="218" w:name="_Toc23010"/>
      <w:bookmarkStart w:id="219" w:name="_Toc29534"/>
      <w:r>
        <w:rPr>
          <w:rFonts w:hint="eastAsia"/>
          <w:lang w:val="en-US" w:eastAsia="zh-CN"/>
        </w:rPr>
        <w:t>17</w:t>
      </w:r>
      <w:r>
        <w:rPr>
          <w:rFonts w:hint="eastAsia"/>
          <w:lang w:eastAsia="zh-CN"/>
        </w:rPr>
        <w:t xml:space="preserve">  学校基本办学条件指标</w:t>
      </w:r>
      <w:bookmarkEnd w:id="217"/>
      <w:bookmarkEnd w:id="218"/>
      <w:bookmarkEnd w:id="219"/>
    </w:p>
    <w:tbl>
      <w:tblPr>
        <w:tblStyle w:val="1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4"/>
        <w:gridCol w:w="5400"/>
        <w:gridCol w:w="1185"/>
        <w:gridCol w:w="12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tcBorders>
              <w:top w:val="single" w:color="auto" w:sz="4" w:space="0"/>
            </w:tcBorders>
            <w:noWrap w:val="0"/>
            <w:vAlign w:val="center"/>
          </w:tcPr>
          <w:p>
            <w:pPr>
              <w:snapToGrid w:val="0"/>
              <w:spacing w:before="0" w:after="0" w:line="240" w:lineRule="auto"/>
              <w:jc w:val="center"/>
              <w:rPr>
                <w:rFonts w:ascii="宋体" w:hAnsi="宋体" w:cs="宋体"/>
                <w:b/>
                <w:bCs/>
              </w:rPr>
            </w:pPr>
            <w:r>
              <w:rPr>
                <w:rFonts w:hint="eastAsia" w:ascii="宋体" w:hAnsi="宋体" w:cs="宋体"/>
                <w:b/>
                <w:bCs/>
              </w:rPr>
              <w:t>序号</w:t>
            </w:r>
          </w:p>
        </w:tc>
        <w:tc>
          <w:tcPr>
            <w:tcW w:w="5400" w:type="dxa"/>
            <w:tcBorders>
              <w:top w:val="single" w:color="auto" w:sz="4" w:space="0"/>
            </w:tcBorders>
            <w:noWrap w:val="0"/>
            <w:vAlign w:val="center"/>
          </w:tcPr>
          <w:p>
            <w:pPr>
              <w:snapToGrid w:val="0"/>
              <w:spacing w:before="0" w:after="0" w:line="240" w:lineRule="auto"/>
              <w:jc w:val="center"/>
              <w:rPr>
                <w:rFonts w:ascii="宋体" w:hAnsi="宋体" w:cs="宋体"/>
                <w:b/>
                <w:bCs/>
              </w:rPr>
            </w:pPr>
            <w:r>
              <w:rPr>
                <w:rFonts w:hint="eastAsia" w:ascii="宋体" w:hAnsi="宋体" w:cs="宋体"/>
                <w:b/>
                <w:bCs/>
              </w:rPr>
              <w:t>办学指标</w:t>
            </w:r>
          </w:p>
        </w:tc>
        <w:tc>
          <w:tcPr>
            <w:tcW w:w="1185" w:type="dxa"/>
            <w:tcBorders>
              <w:top w:val="single" w:color="auto" w:sz="4" w:space="0"/>
            </w:tcBorders>
            <w:noWrap w:val="0"/>
            <w:vAlign w:val="center"/>
          </w:tcPr>
          <w:p>
            <w:pPr>
              <w:snapToGrid w:val="0"/>
              <w:spacing w:before="0" w:after="0" w:line="240" w:lineRule="auto"/>
              <w:jc w:val="center"/>
              <w:rPr>
                <w:rFonts w:ascii="宋体" w:hAnsi="宋体" w:cs="宋体"/>
                <w:b/>
                <w:bCs/>
              </w:rPr>
            </w:pPr>
            <w:r>
              <w:rPr>
                <w:rFonts w:hint="eastAsia" w:ascii="宋体" w:hAnsi="宋体" w:cs="宋体"/>
                <w:b/>
                <w:bCs/>
              </w:rPr>
              <w:t>合格标准</w:t>
            </w:r>
          </w:p>
        </w:tc>
        <w:tc>
          <w:tcPr>
            <w:tcW w:w="1223" w:type="dxa"/>
            <w:tcBorders>
              <w:top w:val="single" w:color="auto" w:sz="4" w:space="0"/>
            </w:tcBorders>
            <w:noWrap w:val="0"/>
            <w:vAlign w:val="center"/>
          </w:tcPr>
          <w:p>
            <w:pPr>
              <w:snapToGrid w:val="0"/>
              <w:spacing w:before="0" w:after="0" w:line="240" w:lineRule="auto"/>
              <w:jc w:val="center"/>
              <w:rPr>
                <w:rFonts w:ascii="宋体" w:hAnsi="宋体" w:cs="宋体"/>
                <w:b/>
                <w:bCs/>
              </w:rPr>
            </w:pPr>
            <w:r>
              <w:rPr>
                <w:rFonts w:hint="eastAsia" w:ascii="宋体" w:hAnsi="宋体" w:cs="宋体"/>
                <w:b/>
                <w:bCs/>
              </w:rPr>
              <w:t>20</w:t>
            </w:r>
            <w:r>
              <w:rPr>
                <w:rFonts w:hint="eastAsia" w:ascii="宋体" w:hAnsi="宋体" w:cs="宋体"/>
                <w:b/>
                <w:bCs/>
                <w:lang w:val="en-US" w:eastAsia="zh-CN"/>
              </w:rPr>
              <w:t>23</w:t>
            </w:r>
            <w:r>
              <w:rPr>
                <w:rFonts w:hint="eastAsia" w:ascii="宋体" w:hAnsi="宋体" w:cs="宋体"/>
                <w:b/>
                <w:bCs/>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1</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师生比</w:t>
            </w:r>
          </w:p>
        </w:tc>
        <w:tc>
          <w:tcPr>
            <w:tcW w:w="1185"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18:1</w:t>
            </w:r>
          </w:p>
        </w:tc>
        <w:tc>
          <w:tcPr>
            <w:tcW w:w="122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lang w:val="en-US" w:eastAsia="zh-CN"/>
              </w:rPr>
              <w:t>17.41</w:t>
            </w:r>
            <w:r>
              <w:rPr>
                <w:rFonts w:hint="eastAsia" w:ascii="宋体" w:hAnsi="宋体" w:eastAsia="宋体"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具有研究生学位教师占专任教师的比例（%）</w:t>
            </w:r>
          </w:p>
        </w:tc>
        <w:tc>
          <w:tcPr>
            <w:tcW w:w="1185"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15</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62.75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3</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具有高级职务教师占专任教师的比例（%）</w:t>
            </w:r>
          </w:p>
        </w:tc>
        <w:tc>
          <w:tcPr>
            <w:tcW w:w="1185"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20</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4</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生均教学科研仪器设备值（元/生）</w:t>
            </w:r>
          </w:p>
        </w:tc>
        <w:tc>
          <w:tcPr>
            <w:tcW w:w="1185"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4000</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i w:val="0"/>
                <w:iCs w:val="0"/>
                <w:caps w:val="0"/>
                <w:color w:val="333333"/>
                <w:spacing w:val="0"/>
                <w:sz w:val="20"/>
                <w:szCs w:val="20"/>
                <w:shd w:val="clear" w:fill="FFFFFF"/>
              </w:rPr>
              <w:t>4694.39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5</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新增教学科研仪器设备所占比例（%）</w:t>
            </w:r>
          </w:p>
        </w:tc>
        <w:tc>
          <w:tcPr>
            <w:tcW w:w="1185"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10</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10.04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6</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生均年进书量（册）</w:t>
            </w:r>
          </w:p>
        </w:tc>
        <w:tc>
          <w:tcPr>
            <w:tcW w:w="1185"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3</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8.39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7</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生均图书（册/生）</w:t>
            </w:r>
          </w:p>
        </w:tc>
        <w:tc>
          <w:tcPr>
            <w:tcW w:w="1185"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lang w:val="en-US" w:eastAsia="zh-CN"/>
              </w:rPr>
              <w:t>6</w:t>
            </w:r>
            <w:r>
              <w:rPr>
                <w:rFonts w:hint="eastAsia" w:ascii="宋体" w:hAnsi="宋体" w:eastAsia="宋体" w:cs="宋体"/>
                <w:sz w:val="20"/>
                <w:szCs w:val="20"/>
              </w:rPr>
              <w:t>0</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73.46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8</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生均占地面积（平方米/生）</w:t>
            </w:r>
          </w:p>
        </w:tc>
        <w:tc>
          <w:tcPr>
            <w:tcW w:w="1185"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rPr>
              <w:t>54</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85.53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9</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生均教学行政用房（平方米/生）</w:t>
            </w:r>
          </w:p>
        </w:tc>
        <w:tc>
          <w:tcPr>
            <w:tcW w:w="1185"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rPr>
              <w:t>15</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10</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生均宿舍面积（平方米/生）</w:t>
            </w:r>
          </w:p>
        </w:tc>
        <w:tc>
          <w:tcPr>
            <w:tcW w:w="1185"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rPr>
              <w:t>6.5</w:t>
            </w:r>
            <w:r>
              <w:rPr>
                <w:rFonts w:hint="eastAsia" w:ascii="宋体" w:hAnsi="宋体" w:eastAsia="宋体" w:cs="宋体"/>
                <w:sz w:val="20"/>
                <w:szCs w:val="20"/>
                <w:lang w:val="en-US" w:eastAsia="zh-CN"/>
              </w:rPr>
              <w:t>0</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9.42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11</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百名学生配教学用计算机台数（台）</w:t>
            </w:r>
          </w:p>
        </w:tc>
        <w:tc>
          <w:tcPr>
            <w:tcW w:w="1185"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rPr>
              <w:t>8</w:t>
            </w:r>
          </w:p>
        </w:tc>
        <w:tc>
          <w:tcPr>
            <w:tcW w:w="1223" w:type="dxa"/>
            <w:noWrap w:val="0"/>
            <w:vAlign w:val="center"/>
          </w:tcPr>
          <w:p>
            <w:pPr>
              <w:snapToGrid w:val="0"/>
              <w:spacing w:before="0" w:after="0" w:line="240" w:lineRule="auto"/>
              <w:jc w:val="cente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20.94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14"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12</w:t>
            </w:r>
          </w:p>
        </w:tc>
        <w:tc>
          <w:tcPr>
            <w:tcW w:w="5400" w:type="dxa"/>
            <w:noWrap w:val="0"/>
            <w:vAlign w:val="center"/>
          </w:tcPr>
          <w:p>
            <w:pPr>
              <w:snapToGrid w:val="0"/>
              <w:spacing w:before="0" w:after="0" w:line="240" w:lineRule="auto"/>
              <w:rPr>
                <w:rFonts w:hint="eastAsia" w:ascii="宋体" w:hAnsi="宋体" w:eastAsia="宋体" w:cs="宋体"/>
                <w:sz w:val="20"/>
                <w:szCs w:val="20"/>
              </w:rPr>
            </w:pPr>
            <w:r>
              <w:rPr>
                <w:rFonts w:hint="eastAsia" w:ascii="宋体" w:hAnsi="宋体" w:eastAsia="宋体" w:cs="宋体"/>
                <w:sz w:val="20"/>
                <w:szCs w:val="20"/>
              </w:rPr>
              <w:t>百名学生配多媒体教室和语音实验室座位数（个）</w:t>
            </w:r>
          </w:p>
        </w:tc>
        <w:tc>
          <w:tcPr>
            <w:tcW w:w="1185"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7</w:t>
            </w:r>
          </w:p>
        </w:tc>
        <w:tc>
          <w:tcPr>
            <w:tcW w:w="1223" w:type="dxa"/>
            <w:noWrap w:val="0"/>
            <w:vAlign w:val="center"/>
          </w:tcPr>
          <w:p>
            <w:pPr>
              <w:snapToGrid w:val="0"/>
              <w:spacing w:before="0" w:after="0" w:line="240" w:lineRule="auto"/>
              <w:jc w:val="center"/>
              <w:rPr>
                <w:rFonts w:hint="eastAsia" w:ascii="宋体" w:hAnsi="宋体" w:eastAsia="宋体" w:cs="宋体"/>
                <w:sz w:val="20"/>
                <w:szCs w:val="20"/>
              </w:rPr>
            </w:pPr>
            <w:r>
              <w:rPr>
                <w:rFonts w:hint="eastAsia" w:ascii="宋体" w:hAnsi="宋体" w:eastAsia="宋体" w:cs="宋体"/>
                <w:sz w:val="20"/>
                <w:szCs w:val="20"/>
              </w:rPr>
              <w:t>80</w:t>
            </w:r>
          </w:p>
        </w:tc>
      </w:tr>
    </w:tbl>
    <w:p>
      <w:pPr>
        <w:pStyle w:val="5"/>
        <w:keepNext w:val="0"/>
        <w:keepLines w:val="0"/>
        <w:pageBreakBefore w:val="0"/>
        <w:widowControl w:val="0"/>
        <w:kinsoku/>
        <w:wordWrap/>
        <w:overflowPunct/>
        <w:topLinePunct w:val="0"/>
        <w:autoSpaceDE/>
        <w:autoSpaceDN/>
        <w:bidi w:val="0"/>
        <w:adjustRightInd/>
        <w:snapToGrid/>
        <w:spacing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针对未来办学发展的需求，学校将争取属地政府的支持，重点落实新增至少200亩校园建设用地，建成图书馆、风雨操场、大学生创新创业中心（产业中心）、宿舍楼扩建（3500个床位）等项目；推进校园信息化建设，网络基础设施、数字化校园平台、教育技术平台、数字化图书馆、安全监控系统建设形成新格局。按照专业建设标准，扩建和完善校内实习、实训中心。</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学校将用足用好地方政府出台的职业学校办学条件达标配套相关政策，统筹资源，加大投入，确保办学条件达标。</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学校将用足用好预算内资金、国际金融组织贷款等政策，优化学校结构，确保学校正常运转，保证办学条件全面达标。</w:t>
      </w:r>
    </w:p>
    <w:p>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学校将办学条件达标纳入学校党政工作中的重要工作。将达标情况作为对学校相关部门负责人履职考核、奖惩的重要依据。2023年起，学校将达标情况进行自检，对办学条件未达标的部门给予校内黄牌预警，并将相关达标工作作为下一阶段的重点工作，保证学校办学条件全部达标，把学校建设成为具有特色的高水平学校。</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220" w:name="_Toc9687"/>
      <w:r>
        <w:rPr>
          <w:rFonts w:hint="eastAsia" w:ascii="宋体" w:hAnsi="宋体" w:cs="宋体"/>
          <w:b/>
          <w:bCs/>
          <w:sz w:val="28"/>
          <w:szCs w:val="28"/>
          <w:lang w:val="en-US" w:eastAsia="zh-CN"/>
        </w:rPr>
        <w:t>7.4学校治理</w:t>
      </w:r>
      <w:bookmarkEnd w:id="220"/>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健全依法治校的制度和机制。注重塑造学校精神、弘扬学校文化价值、突出学校办学优势特色、凝聚办学理念共识，修订学校章程，依法核准后颁布施行。以学校章程的宣传教育和贯彻实施为引领，全面提升管理干部和教职工依法治校的意识、能力和水平，推进校园法治文化建设向纵深发展。以章程为统领，全面系统梳理规章制度，确保规章制度的合法性、合理性和有效性，提高可操作性，形成健全、规范、统一的制度体系，用科学的治理结构和完善的制度机制管权管事管人。强化责任追究和问责，把权力关进制度的笼子。</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健全校、二级学院两级质量监控保障体系，建立就业(用人)单位、行业协会、学生及其家长、研究机构等利益相关方共同参与的第三方人才培养质量评价制度，设定评价标准，建立反馈机制，将毕业生就业率、就业质量、企业满意度、创业成效等作为衡量专业人才培养质量的重要指标，并对毕业生工作后五年的发展轨迹进行持续追踪。以评价结果为依据，分析学生（毕业生）、教师、管理人员等有关学习（培训）、教学、工作等方面的信息，为教学质量管理、专业设置优化、培养方案制定、课程调整创新、办学成本核算、管理制度设计等提供科学依据。运用现代科学方法和手段建立起教学管理决策系统、教学状况信息反馈系统、教学质量监控系统，实现专业教学过程的现代化、动态化管理。</w:t>
      </w: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pPr>
    </w:p>
    <w:p>
      <w:pPr>
        <w:pStyle w:val="6"/>
        <w:spacing w:line="240" w:lineRule="auto"/>
        <w:rPr>
          <w:rFonts w:hint="eastAsia" w:ascii="楷体" w:hAnsi="楷体" w:eastAsia="楷体" w:cs="宋体"/>
          <w:b w:val="0"/>
          <w:bCs/>
          <w:kern w:val="2"/>
          <w:sz w:val="24"/>
          <w:szCs w:val="24"/>
          <w:lang w:val="en-US" w:eastAsia="zh-CN" w:bidi="ar-SA"/>
        </w:rPr>
      </w:pPr>
      <w:bookmarkStart w:id="221" w:name="_Toc959"/>
      <w:r>
        <w:t xml:space="preserve">案例 7- </w:t>
      </w:r>
      <w:r>
        <w:fldChar w:fldCharType="begin"/>
      </w:r>
      <w:r>
        <w:instrText xml:space="preserve"> SEQ 案例_7- \* ARABIC </w:instrText>
      </w:r>
      <w:r>
        <w:fldChar w:fldCharType="separate"/>
      </w:r>
      <w:r>
        <w:t>3</w:t>
      </w:r>
      <w:r>
        <w:fldChar w:fldCharType="end"/>
      </w:r>
      <w:r>
        <w:rPr>
          <w:rFonts w:hint="eastAsia"/>
          <w:lang w:eastAsia="zh-CN"/>
        </w:rPr>
        <w:t xml:space="preserve">  【太湖创意职业技术学院第五次学生代表大会顺利召开】</w:t>
      </w:r>
      <w:r>
        <w:rPr>
          <w:rFonts w:hint="eastAsia" w:ascii="楷体" w:hAnsi="楷体" w:eastAsia="楷体" w:cs="宋体"/>
          <w:b w:val="0"/>
          <w:bCs/>
          <w:kern w:val="2"/>
          <w:sz w:val="24"/>
          <w:szCs w:val="24"/>
          <w:lang w:val="en-US" w:eastAsia="zh-CN" w:bidi="ar-SA"/>
        </w:rPr>
        <w:t>学校各级学生组织在学校党委和上级学联的领导下,紧紧围绕学校中心工作,主动贴近青年学生实际,认真履行职责,充分发挥自身优势，热情服务广大同学,不断丰富校园文化生活,开创了一大批影响广泛的品牌活动，形成了许多团学工作上的亮点。新一届学生会一定能够以崭新的姿态和昂扬的风貌，不负重托、不辱使命，开拓创新、锐意进取，团结带领广大同学，在把学校建成具有创意特色的高质量职业技术院校的征程中，谱写出更加壮丽的青春篇章！</w:t>
      </w:r>
      <w:bookmarkEnd w:id="221"/>
    </w:p>
    <w:p>
      <w:pPr>
        <w:keepNext w:val="0"/>
        <w:keepLines w:val="0"/>
        <w:pageBreakBefore w:val="0"/>
        <w:widowControl w:val="0"/>
        <w:kinsoku/>
        <w:wordWrap/>
        <w:overflowPunct/>
        <w:topLinePunct w:val="0"/>
        <w:autoSpaceDE/>
        <w:autoSpaceDN/>
        <w:bidi w:val="0"/>
        <w:adjustRightInd/>
        <w:snapToGrid/>
        <w:spacing w:before="0" w:after="0" w:line="520" w:lineRule="exact"/>
        <w:ind w:firstLine="472" w:firstLineChars="200"/>
        <w:textAlignment w:val="auto"/>
        <w:rPr>
          <w:rFonts w:hint="eastAsia" w:ascii="微软雅黑" w:hAnsi="微软雅黑" w:eastAsia="微软雅黑" w:cs="微软雅黑"/>
          <w:i w:val="0"/>
          <w:iCs w:val="0"/>
          <w:caps w:val="0"/>
          <w:spacing w:val="8"/>
          <w:sz w:val="22"/>
          <w:szCs w:val="22"/>
          <w:shd w:val="clear" w:fill="FFF8F4"/>
          <w:lang w:val="en-US" w:eastAsia="zh-CN"/>
        </w:rPr>
      </w:pPr>
      <w:r>
        <w:rPr>
          <w:rFonts w:hint="eastAsia" w:ascii="微软雅黑" w:hAnsi="微软雅黑" w:eastAsia="微软雅黑" w:cs="微软雅黑"/>
          <w:i w:val="0"/>
          <w:iCs w:val="0"/>
          <w:caps w:val="0"/>
          <w:spacing w:val="8"/>
          <w:sz w:val="22"/>
          <w:szCs w:val="22"/>
          <w:shd w:val="clear" w:fill="FFF8F4"/>
          <w:lang w:val="en-US" w:eastAsia="zh-CN"/>
        </w:rPr>
        <w:drawing>
          <wp:anchor distT="0" distB="0" distL="114300" distR="114300" simplePos="0" relativeHeight="251685888" behindDoc="0" locked="0" layoutInCell="1" allowOverlap="1">
            <wp:simplePos x="0" y="0"/>
            <wp:positionH relativeFrom="column">
              <wp:posOffset>165100</wp:posOffset>
            </wp:positionH>
            <wp:positionV relativeFrom="paragraph">
              <wp:posOffset>29210</wp:posOffset>
            </wp:positionV>
            <wp:extent cx="5047615" cy="3365500"/>
            <wp:effectExtent l="0" t="0" r="635" b="6350"/>
            <wp:wrapNone/>
            <wp:docPr id="17" name="图片 17" descr="5a9d7fe14144f5c6c452fc5284e6ff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5a9d7fe14144f5c6c452fc5284e6ff3e"/>
                    <pic:cNvPicPr>
                      <a:picLocks noChangeAspect="1"/>
                    </pic:cNvPicPr>
                  </pic:nvPicPr>
                  <pic:blipFill>
                    <a:blip r:embed="rId62"/>
                    <a:stretch>
                      <a:fillRect/>
                    </a:stretch>
                  </pic:blipFill>
                  <pic:spPr>
                    <a:xfrm>
                      <a:off x="0" y="0"/>
                      <a:ext cx="5047615" cy="3365500"/>
                    </a:xfrm>
                    <a:prstGeom prst="rect">
                      <a:avLst/>
                    </a:prstGeom>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jc w:val="center"/>
        <w:textAlignment w:val="auto"/>
        <w:rPr>
          <w:rFonts w:hint="eastAsia" w:ascii="微软雅黑" w:hAnsi="微软雅黑" w:eastAsia="宋体" w:cs="微软雅黑"/>
          <w:i w:val="0"/>
          <w:iCs w:val="0"/>
          <w:caps w:val="0"/>
          <w:spacing w:val="8"/>
          <w:sz w:val="22"/>
          <w:szCs w:val="22"/>
          <w:shd w:val="clear" w:fill="FFF8F4"/>
          <w:lang w:val="en-US" w:eastAsia="zh-CN"/>
        </w:rPr>
      </w:pPr>
      <w:bookmarkStart w:id="222" w:name="_Toc27776"/>
      <w:r>
        <w:t xml:space="preserve">图 </w:t>
      </w:r>
      <w:r>
        <w:fldChar w:fldCharType="begin"/>
      </w:r>
      <w:r>
        <w:instrText xml:space="preserve"> SEQ 图 \* ARABIC </w:instrText>
      </w:r>
      <w:r>
        <w:fldChar w:fldCharType="separate"/>
      </w:r>
      <w:r>
        <w:t>47</w:t>
      </w:r>
      <w:r>
        <w:fldChar w:fldCharType="end"/>
      </w:r>
      <w:bookmarkStart w:id="223" w:name="_Toc31818"/>
      <w:r>
        <w:rPr>
          <w:rFonts w:hint="eastAsia"/>
          <w:lang w:eastAsia="zh-CN"/>
        </w:rPr>
        <w:t xml:space="preserve">  太湖创意职业技术学院第五次学生代表大会召开现场一</w:t>
      </w:r>
      <w:bookmarkEnd w:id="222"/>
      <w:bookmarkEnd w:id="223"/>
    </w:p>
    <w:p>
      <w:pPr>
        <w:keepNext w:val="0"/>
        <w:keepLines w:val="0"/>
        <w:pageBreakBefore w:val="0"/>
        <w:widowControl w:val="0"/>
        <w:kinsoku/>
        <w:wordWrap/>
        <w:overflowPunct/>
        <w:topLinePunct w:val="0"/>
        <w:autoSpaceDE/>
        <w:autoSpaceDN/>
        <w:bidi w:val="0"/>
        <w:adjustRightInd/>
        <w:snapToGrid/>
        <w:spacing w:before="0" w:after="0" w:line="520" w:lineRule="exact"/>
        <w:ind w:firstLine="472" w:firstLineChars="200"/>
        <w:textAlignment w:val="auto"/>
        <w:rPr>
          <w:rFonts w:hint="eastAsia" w:ascii="微软雅黑" w:hAnsi="微软雅黑" w:eastAsia="微软雅黑" w:cs="微软雅黑"/>
          <w:i w:val="0"/>
          <w:iCs w:val="0"/>
          <w:caps w:val="0"/>
          <w:spacing w:val="8"/>
          <w:sz w:val="22"/>
          <w:szCs w:val="22"/>
          <w:shd w:val="clear" w:fill="FFF8F4"/>
          <w:lang w:val="en-US" w:eastAsia="zh-CN"/>
        </w:rPr>
      </w:pPr>
      <w:r>
        <w:rPr>
          <w:rFonts w:hint="eastAsia" w:ascii="微软雅黑" w:hAnsi="微软雅黑" w:eastAsia="微软雅黑" w:cs="微软雅黑"/>
          <w:i w:val="0"/>
          <w:iCs w:val="0"/>
          <w:caps w:val="0"/>
          <w:spacing w:val="8"/>
          <w:sz w:val="22"/>
          <w:szCs w:val="22"/>
          <w:shd w:val="clear" w:fill="FFF8F4"/>
          <w:lang w:val="en-US" w:eastAsia="zh-CN"/>
        </w:rPr>
        <w:drawing>
          <wp:anchor distT="0" distB="0" distL="114300" distR="114300" simplePos="0" relativeHeight="251686912" behindDoc="0" locked="0" layoutInCell="1" allowOverlap="1">
            <wp:simplePos x="0" y="0"/>
            <wp:positionH relativeFrom="column">
              <wp:posOffset>184150</wp:posOffset>
            </wp:positionH>
            <wp:positionV relativeFrom="paragraph">
              <wp:posOffset>219710</wp:posOffset>
            </wp:positionV>
            <wp:extent cx="5036820" cy="3358515"/>
            <wp:effectExtent l="0" t="0" r="11430" b="13335"/>
            <wp:wrapNone/>
            <wp:docPr id="20" name="图片 20" descr="0b4ae6170ad1b42cb4d18e3d7ee9db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b4ae6170ad1b42cb4d18e3d7ee9dbe5"/>
                    <pic:cNvPicPr>
                      <a:picLocks noChangeAspect="1"/>
                    </pic:cNvPicPr>
                  </pic:nvPicPr>
                  <pic:blipFill>
                    <a:blip r:embed="rId63"/>
                    <a:stretch>
                      <a:fillRect/>
                    </a:stretch>
                  </pic:blipFill>
                  <pic:spPr>
                    <a:xfrm>
                      <a:off x="0" y="0"/>
                      <a:ext cx="5036820" cy="3358515"/>
                    </a:xfrm>
                    <a:prstGeom prst="rect">
                      <a:avLst/>
                    </a:prstGeom>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textAlignment w:val="auto"/>
      </w:pPr>
    </w:p>
    <w:p>
      <w:pPr>
        <w:pStyle w:val="6"/>
        <w:keepNext w:val="0"/>
        <w:keepLines w:val="0"/>
        <w:pageBreakBefore w:val="0"/>
        <w:widowControl w:val="0"/>
        <w:kinsoku/>
        <w:wordWrap/>
        <w:overflowPunct/>
        <w:topLinePunct w:val="0"/>
        <w:autoSpaceDE/>
        <w:autoSpaceDN/>
        <w:bidi w:val="0"/>
        <w:adjustRightInd/>
        <w:snapToGrid/>
        <w:spacing w:before="0" w:after="0" w:line="520" w:lineRule="exact"/>
        <w:ind w:firstLine="400" w:firstLineChars="200"/>
        <w:jc w:val="center"/>
        <w:textAlignment w:val="auto"/>
        <w:rPr>
          <w:rFonts w:hint="eastAsia" w:ascii="微软雅黑" w:hAnsi="微软雅黑" w:eastAsia="宋体" w:cs="微软雅黑"/>
          <w:i w:val="0"/>
          <w:iCs w:val="0"/>
          <w:caps w:val="0"/>
          <w:spacing w:val="8"/>
          <w:sz w:val="22"/>
          <w:szCs w:val="22"/>
          <w:shd w:val="clear" w:fill="FFF8F4"/>
          <w:lang w:val="en-US" w:eastAsia="zh-CN"/>
        </w:rPr>
      </w:pPr>
      <w:bookmarkStart w:id="224" w:name="_Toc25748"/>
      <w:r>
        <w:t xml:space="preserve">图 </w:t>
      </w:r>
      <w:r>
        <w:fldChar w:fldCharType="begin"/>
      </w:r>
      <w:r>
        <w:instrText xml:space="preserve"> SEQ 图 \* ARABIC </w:instrText>
      </w:r>
      <w:r>
        <w:fldChar w:fldCharType="separate"/>
      </w:r>
      <w:r>
        <w:t>48</w:t>
      </w:r>
      <w:r>
        <w:fldChar w:fldCharType="end"/>
      </w:r>
      <w:bookmarkStart w:id="225" w:name="_Toc22127"/>
      <w:r>
        <w:rPr>
          <w:rFonts w:hint="eastAsia"/>
          <w:lang w:eastAsia="zh-CN"/>
        </w:rPr>
        <w:t xml:space="preserve">  太湖创意职业技术学院第五次学生代表大会召开现场二</w:t>
      </w:r>
      <w:bookmarkEnd w:id="224"/>
      <w:bookmarkEnd w:id="225"/>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rPr>
          <w:rFonts w:hint="eastAsia" w:ascii="楷体" w:hAnsi="楷体" w:eastAsia="楷体" w:cs="宋体"/>
          <w:b w:val="0"/>
          <w:bCs/>
          <w:kern w:val="2"/>
          <w:sz w:val="24"/>
          <w:szCs w:val="24"/>
          <w:lang w:val="en-US" w:eastAsia="zh-CN" w:bidi="ar-SA"/>
        </w:rPr>
      </w:pPr>
      <w:bookmarkStart w:id="226" w:name="_Toc1667"/>
      <w:r>
        <w:t xml:space="preserve">案例 7- </w:t>
      </w:r>
      <w:r>
        <w:fldChar w:fldCharType="begin"/>
      </w:r>
      <w:r>
        <w:instrText xml:space="preserve"> SEQ 案例_7- \* ARABIC </w:instrText>
      </w:r>
      <w:r>
        <w:fldChar w:fldCharType="separate"/>
      </w:r>
      <w:r>
        <w:t>4</w:t>
      </w:r>
      <w:r>
        <w:fldChar w:fldCharType="end"/>
      </w:r>
      <w:r>
        <w:rPr>
          <w:rFonts w:hint="eastAsia"/>
          <w:lang w:eastAsia="zh-CN"/>
        </w:rPr>
        <w:t xml:space="preserve">  【无锡太湖学院会计学院专家来太湖创意职业技术学院进行专项督导】</w:t>
      </w:r>
      <w:r>
        <w:rPr>
          <w:rFonts w:hint="eastAsia" w:ascii="楷体" w:hAnsi="楷体" w:eastAsia="楷体" w:cs="宋体"/>
          <w:b w:val="0"/>
          <w:bCs/>
          <w:kern w:val="2"/>
          <w:sz w:val="24"/>
          <w:szCs w:val="24"/>
          <w:lang w:val="en-US" w:eastAsia="zh-CN" w:bidi="ar-SA"/>
        </w:rPr>
        <w:t>为了进一步提升会计“3+2”贯通培养项目的培养水平，加强专科本科教学的衔接和协调，无锡太湖学院会计学院院长唐建荣一行五位专家来我校进行专项督导。太湖学院会计学院专家查阅了教学文件和试卷，并召开了学生和教师座谈会，了解学生和老师对专业建设、教学情况、学校生活等方面的意见和建议。通过督导对项目的教学组织、质量保障、师资队伍建设等方面都有很大的帮助，学校将认真对待督导结果，深入研讨、贯彻落实，把这个项目办得更好，使之成为学校的标杆和亮点。 </w:t>
      </w:r>
      <w:bookmarkEnd w:id="226"/>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rPr>
          <w:rFonts w:hint="eastAsia" w:ascii="微软雅黑" w:hAnsi="微软雅黑" w:eastAsia="微软雅黑" w:cs="微软雅黑"/>
          <w:i w:val="0"/>
          <w:iCs w:val="0"/>
          <w:caps w:val="0"/>
          <w:spacing w:val="8"/>
          <w:sz w:val="22"/>
          <w:szCs w:val="22"/>
          <w:shd w:val="clear" w:fill="FAF5ED"/>
          <w:lang w:eastAsia="zh-CN"/>
        </w:rPr>
      </w:pPr>
      <w:r>
        <w:rPr>
          <w:rFonts w:hint="eastAsia" w:ascii="微软雅黑" w:hAnsi="微软雅黑" w:eastAsia="微软雅黑" w:cs="微软雅黑"/>
          <w:i w:val="0"/>
          <w:iCs w:val="0"/>
          <w:caps w:val="0"/>
          <w:spacing w:val="8"/>
          <w:sz w:val="22"/>
          <w:szCs w:val="22"/>
          <w:shd w:val="clear" w:fill="FAF5ED"/>
          <w:lang w:eastAsia="zh-CN"/>
        </w:rPr>
        <w:drawing>
          <wp:anchor distT="0" distB="0" distL="114300" distR="114300" simplePos="0" relativeHeight="251689984" behindDoc="0" locked="0" layoutInCell="1" allowOverlap="1">
            <wp:simplePos x="0" y="0"/>
            <wp:positionH relativeFrom="column">
              <wp:posOffset>170815</wp:posOffset>
            </wp:positionH>
            <wp:positionV relativeFrom="paragraph">
              <wp:posOffset>34925</wp:posOffset>
            </wp:positionV>
            <wp:extent cx="4905375" cy="3270885"/>
            <wp:effectExtent l="0" t="0" r="9525" b="5715"/>
            <wp:wrapNone/>
            <wp:docPr id="38" name="图片 38" descr="c8e9d94495e1fbfdbc344580e842c2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8e9d94495e1fbfdbc344580e842c2f5"/>
                    <pic:cNvPicPr>
                      <a:picLocks noChangeAspect="1"/>
                    </pic:cNvPicPr>
                  </pic:nvPicPr>
                  <pic:blipFill>
                    <a:blip r:embed="rId64"/>
                    <a:stretch>
                      <a:fillRect/>
                    </a:stretch>
                  </pic:blipFill>
                  <pic:spPr>
                    <a:xfrm>
                      <a:off x="0" y="0"/>
                      <a:ext cx="4905375" cy="3270885"/>
                    </a:xfrm>
                    <a:prstGeom prst="rect">
                      <a:avLst/>
                    </a:prstGeom>
                  </pic:spPr>
                </pic:pic>
              </a:graphicData>
            </a:graphic>
          </wp:anchor>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pP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right="0"/>
        <w:jc w:val="center"/>
        <w:rPr>
          <w:rFonts w:hint="eastAsia" w:ascii="微软雅黑" w:hAnsi="微软雅黑" w:eastAsia="宋体" w:cs="微软雅黑"/>
          <w:i w:val="0"/>
          <w:iCs w:val="0"/>
          <w:caps w:val="0"/>
          <w:spacing w:val="8"/>
          <w:sz w:val="22"/>
          <w:szCs w:val="22"/>
          <w:shd w:val="clear" w:fill="FAF5ED"/>
          <w:lang w:val="en-US" w:eastAsia="zh-CN"/>
        </w:rPr>
      </w:pPr>
      <w:bookmarkStart w:id="227" w:name="_Toc24225"/>
      <w:r>
        <w:t xml:space="preserve">图 </w:t>
      </w:r>
      <w:r>
        <w:fldChar w:fldCharType="begin"/>
      </w:r>
      <w:r>
        <w:instrText xml:space="preserve"> SEQ 图 \* ARABIC </w:instrText>
      </w:r>
      <w:r>
        <w:fldChar w:fldCharType="separate"/>
      </w:r>
      <w:r>
        <w:t>49</w:t>
      </w:r>
      <w:r>
        <w:fldChar w:fldCharType="end"/>
      </w:r>
      <w:bookmarkStart w:id="228" w:name="_Toc5297"/>
      <w:r>
        <w:rPr>
          <w:rFonts w:hint="eastAsia"/>
          <w:lang w:eastAsia="zh-CN"/>
        </w:rPr>
        <w:t xml:space="preserve">  无锡太湖学院会计学院专家来太湖创意职业技术学院进行专项督导现场</w:t>
      </w:r>
      <w:bookmarkEnd w:id="227"/>
      <w:bookmarkEnd w:id="228"/>
    </w:p>
    <w:p>
      <w:pPr>
        <w:keepNext w:val="0"/>
        <w:keepLines w:val="0"/>
        <w:pageBreakBefore w:val="0"/>
        <w:widowControl w:val="0"/>
        <w:kinsoku/>
        <w:wordWrap/>
        <w:overflowPunct/>
        <w:topLinePunct w:val="0"/>
        <w:autoSpaceDE/>
        <w:autoSpaceDN/>
        <w:bidi w:val="0"/>
        <w:adjustRightInd/>
        <w:snapToGrid/>
        <w:spacing w:before="0" w:after="0" w:line="520" w:lineRule="exact"/>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2" w:firstLineChars="200"/>
        <w:textAlignment w:val="auto"/>
        <w:outlineLvl w:val="1"/>
        <w:rPr>
          <w:rFonts w:hint="eastAsia" w:ascii="宋体" w:hAnsi="宋体" w:cs="宋体"/>
          <w:b/>
          <w:bCs/>
          <w:sz w:val="28"/>
          <w:szCs w:val="28"/>
          <w:lang w:val="en-US" w:eastAsia="zh-CN"/>
        </w:rPr>
      </w:pPr>
      <w:bookmarkStart w:id="229" w:name="_Toc30541"/>
      <w:r>
        <w:rPr>
          <w:rFonts w:hint="eastAsia" w:ascii="宋体" w:hAnsi="宋体" w:cs="宋体"/>
          <w:b/>
          <w:bCs/>
          <w:sz w:val="28"/>
          <w:szCs w:val="28"/>
          <w:lang w:val="en-US" w:eastAsia="zh-CN"/>
        </w:rPr>
        <w:t>7.5经费投入</w:t>
      </w:r>
      <w:bookmarkEnd w:id="229"/>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r>
        <w:rPr>
          <w:rFonts w:hint="eastAsia" w:ascii="宋体" w:hAnsi="宋体" w:cs="宋体"/>
          <w:sz w:val="28"/>
          <w:szCs w:val="28"/>
          <w:lang w:val="en-US" w:eastAsia="zh-CN"/>
        </w:rPr>
        <w:t>学院不断加大校内实训基地建设投入。学院实验实训基地建筑面积8093平方米，已建成31个校内实验实训室。建有多媒体教室300余个座位（不含和无锡太湖学院共建的多媒体教室）、语音室5间。专业机房5个，公共机房5个，教学用计算机650台。实训基地设备总值为1454.94万元，2022-2023学年在校生3104人，生均4694.39元。学院已初步形成功能齐全、布局合理、特色鲜明的校内实践教学基地，满足了学院实践教学和社会服务的需要。</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cs="宋体"/>
          <w:sz w:val="28"/>
          <w:szCs w:val="28"/>
          <w:lang w:val="en-US" w:eastAsia="zh-CN"/>
        </w:rPr>
      </w:pPr>
    </w:p>
    <w:p>
      <w:pPr>
        <w:pStyle w:val="6"/>
        <w:jc w:val="center"/>
        <w:rPr>
          <w:rFonts w:hint="eastAsia" w:eastAsia="宋体"/>
          <w:lang w:eastAsia="zh-CN"/>
        </w:rPr>
      </w:pPr>
      <w:bookmarkStart w:id="230" w:name="_Toc18229"/>
      <w:r>
        <w:t xml:space="preserve">表 </w:t>
      </w:r>
      <w:bookmarkStart w:id="231" w:name="_Toc16039"/>
      <w:bookmarkStart w:id="232" w:name="_Toc13933"/>
      <w:r>
        <w:rPr>
          <w:rFonts w:hint="eastAsia"/>
          <w:lang w:val="en-US" w:eastAsia="zh-CN"/>
        </w:rPr>
        <w:t>18</w:t>
      </w:r>
      <w:r>
        <w:rPr>
          <w:rFonts w:hint="eastAsia"/>
          <w:lang w:eastAsia="zh-CN"/>
        </w:rPr>
        <w:t xml:space="preserve">  实训基地建设、运行和管理情况</w:t>
      </w:r>
      <w:bookmarkEnd w:id="230"/>
      <w:bookmarkEnd w:id="231"/>
      <w:bookmarkEnd w:id="232"/>
    </w:p>
    <w:tbl>
      <w:tblPr>
        <w:tblStyle w:val="13"/>
        <w:tblpPr w:leftFromText="180" w:rightFromText="180" w:vertAnchor="text" w:tblpXSpec="center" w:tblpY="1"/>
        <w:tblOverlap w:val="never"/>
        <w:tblW w:w="100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2"/>
        <w:gridCol w:w="802"/>
        <w:gridCol w:w="1029"/>
        <w:gridCol w:w="951"/>
        <w:gridCol w:w="811"/>
        <w:gridCol w:w="1035"/>
        <w:gridCol w:w="915"/>
        <w:gridCol w:w="780"/>
        <w:gridCol w:w="815"/>
        <w:gridCol w:w="911"/>
        <w:gridCol w:w="712"/>
        <w:gridCol w:w="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22" w:type="dxa"/>
            <w:vMerge w:val="restart"/>
            <w:noWrap w:val="0"/>
            <w:textDirection w:val="tbRlV"/>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基 地 数（个）</w:t>
            </w:r>
          </w:p>
        </w:tc>
        <w:tc>
          <w:tcPr>
            <w:tcW w:w="802" w:type="dxa"/>
            <w:vMerge w:val="restart"/>
            <w:noWrap w:val="0"/>
            <w:textDirection w:val="tbRlV"/>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面  积（m2）</w:t>
            </w:r>
          </w:p>
        </w:tc>
        <w:tc>
          <w:tcPr>
            <w:tcW w:w="1980" w:type="dxa"/>
            <w:gridSpan w:val="2"/>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设备值（万元）</w:t>
            </w:r>
          </w:p>
        </w:tc>
        <w:tc>
          <w:tcPr>
            <w:tcW w:w="811" w:type="dxa"/>
            <w:vMerge w:val="restart"/>
            <w:noWrap w:val="0"/>
            <w:textDirection w:val="tbRlV"/>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设 备 数（件）</w:t>
            </w:r>
          </w:p>
        </w:tc>
        <w:tc>
          <w:tcPr>
            <w:tcW w:w="1035" w:type="dxa"/>
            <w:vMerge w:val="restart"/>
            <w:noWrap w:val="0"/>
            <w:textDirection w:val="tbRlV"/>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实 训 项 目（个）</w:t>
            </w:r>
          </w:p>
        </w:tc>
        <w:tc>
          <w:tcPr>
            <w:tcW w:w="1695" w:type="dxa"/>
            <w:gridSpan w:val="2"/>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使 用 频 率</w:t>
            </w:r>
          </w:p>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（人 时）</w:t>
            </w:r>
          </w:p>
        </w:tc>
        <w:tc>
          <w:tcPr>
            <w:tcW w:w="815" w:type="dxa"/>
            <w:vMerge w:val="restart"/>
            <w:noWrap w:val="0"/>
            <w:textDirection w:val="tbRlV"/>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耗  材（万元）</w:t>
            </w:r>
          </w:p>
        </w:tc>
        <w:tc>
          <w:tcPr>
            <w:tcW w:w="911" w:type="dxa"/>
            <w:vMerge w:val="restart"/>
            <w:noWrap w:val="0"/>
            <w:textDirection w:val="tbRlV"/>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维  护（万元）</w:t>
            </w:r>
          </w:p>
        </w:tc>
        <w:tc>
          <w:tcPr>
            <w:tcW w:w="712" w:type="dxa"/>
            <w:vMerge w:val="restart"/>
            <w:noWrap w:val="0"/>
            <w:textDirection w:val="tbRlV"/>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专 职 管 理（人）</w:t>
            </w:r>
          </w:p>
        </w:tc>
        <w:tc>
          <w:tcPr>
            <w:tcW w:w="638" w:type="dxa"/>
            <w:vMerge w:val="restart"/>
            <w:noWrap w:val="0"/>
            <w:textDirection w:val="tbRlV"/>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兼 职 管 理（人）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622" w:type="dxa"/>
            <w:vMerge w:val="continue"/>
            <w:noWrap w:val="0"/>
            <w:vAlign w:val="center"/>
          </w:tcPr>
          <w:p>
            <w:pPr>
              <w:pStyle w:val="4"/>
              <w:snapToGrid w:val="0"/>
              <w:spacing w:before="0" w:after="0" w:line="240" w:lineRule="auto"/>
              <w:ind w:left="0" w:leftChars="0" w:firstLine="0" w:firstLineChars="0"/>
              <w:jc w:val="distribute"/>
              <w:rPr>
                <w:rFonts w:hint="eastAsia" w:ascii="宋体" w:hAnsi="宋体" w:eastAsia="宋体" w:cs="宋体"/>
                <w:kern w:val="2"/>
                <w:sz w:val="24"/>
                <w:szCs w:val="24"/>
                <w:lang w:val="en-US" w:eastAsia="zh-CN" w:bidi="ar-SA"/>
              </w:rPr>
            </w:pPr>
          </w:p>
        </w:tc>
        <w:tc>
          <w:tcPr>
            <w:tcW w:w="802" w:type="dxa"/>
            <w:vMerge w:val="continue"/>
            <w:noWrap w:val="0"/>
            <w:vAlign w:val="center"/>
          </w:tcPr>
          <w:p>
            <w:pPr>
              <w:pStyle w:val="4"/>
              <w:snapToGrid w:val="0"/>
              <w:spacing w:before="0" w:after="0" w:line="240" w:lineRule="auto"/>
              <w:ind w:left="0" w:leftChars="0" w:firstLine="0" w:firstLineChars="0"/>
              <w:jc w:val="distribute"/>
              <w:rPr>
                <w:rFonts w:hint="eastAsia" w:ascii="宋体" w:hAnsi="宋体" w:eastAsia="宋体" w:cs="宋体"/>
                <w:kern w:val="2"/>
                <w:sz w:val="24"/>
                <w:szCs w:val="24"/>
                <w:lang w:val="en-US" w:eastAsia="zh-CN" w:bidi="ar-SA"/>
              </w:rPr>
            </w:pPr>
          </w:p>
        </w:tc>
        <w:tc>
          <w:tcPr>
            <w:tcW w:w="1029"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设 备</w:t>
            </w:r>
          </w:p>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总 值</w:t>
            </w:r>
          </w:p>
        </w:tc>
        <w:tc>
          <w:tcPr>
            <w:tcW w:w="951"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当 年新 增</w:t>
            </w:r>
          </w:p>
        </w:tc>
        <w:tc>
          <w:tcPr>
            <w:tcW w:w="811" w:type="dxa"/>
            <w:vMerge w:val="continue"/>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p>
        </w:tc>
        <w:tc>
          <w:tcPr>
            <w:tcW w:w="1035" w:type="dxa"/>
            <w:vMerge w:val="continue"/>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p>
        </w:tc>
        <w:tc>
          <w:tcPr>
            <w:tcW w:w="915"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校 内</w:t>
            </w:r>
          </w:p>
        </w:tc>
        <w:tc>
          <w:tcPr>
            <w:tcW w:w="780"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社 会</w:t>
            </w:r>
          </w:p>
        </w:tc>
        <w:tc>
          <w:tcPr>
            <w:tcW w:w="815" w:type="dxa"/>
            <w:vMerge w:val="continue"/>
            <w:noWrap w:val="0"/>
            <w:vAlign w:val="center"/>
          </w:tcPr>
          <w:p>
            <w:pPr>
              <w:pStyle w:val="4"/>
              <w:snapToGrid w:val="0"/>
              <w:spacing w:before="0" w:after="0" w:line="240" w:lineRule="auto"/>
              <w:ind w:left="0" w:leftChars="0" w:firstLine="0" w:firstLineChars="0"/>
              <w:jc w:val="distribute"/>
              <w:rPr>
                <w:rFonts w:hint="eastAsia" w:ascii="宋体" w:hAnsi="宋体" w:eastAsia="宋体" w:cs="宋体"/>
                <w:kern w:val="2"/>
                <w:sz w:val="24"/>
                <w:szCs w:val="24"/>
                <w:lang w:val="en-US" w:eastAsia="zh-CN" w:bidi="ar-SA"/>
              </w:rPr>
            </w:pPr>
          </w:p>
        </w:tc>
        <w:tc>
          <w:tcPr>
            <w:tcW w:w="911" w:type="dxa"/>
            <w:vMerge w:val="continue"/>
            <w:noWrap w:val="0"/>
            <w:vAlign w:val="center"/>
          </w:tcPr>
          <w:p>
            <w:pPr>
              <w:pStyle w:val="4"/>
              <w:snapToGrid w:val="0"/>
              <w:spacing w:before="0" w:after="0" w:line="240" w:lineRule="auto"/>
              <w:ind w:left="0" w:leftChars="0" w:firstLine="0" w:firstLineChars="0"/>
              <w:jc w:val="distribute"/>
              <w:rPr>
                <w:rFonts w:hint="eastAsia" w:ascii="宋体" w:hAnsi="宋体" w:eastAsia="宋体" w:cs="宋体"/>
                <w:kern w:val="2"/>
                <w:sz w:val="24"/>
                <w:szCs w:val="24"/>
                <w:lang w:val="en-US" w:eastAsia="zh-CN" w:bidi="ar-SA"/>
              </w:rPr>
            </w:pPr>
          </w:p>
        </w:tc>
        <w:tc>
          <w:tcPr>
            <w:tcW w:w="712" w:type="dxa"/>
            <w:vMerge w:val="continue"/>
            <w:noWrap w:val="0"/>
            <w:vAlign w:val="center"/>
          </w:tcPr>
          <w:p>
            <w:pPr>
              <w:pStyle w:val="4"/>
              <w:snapToGrid w:val="0"/>
              <w:spacing w:before="0" w:after="0" w:line="240" w:lineRule="auto"/>
              <w:ind w:left="0" w:leftChars="0" w:firstLine="0" w:firstLineChars="0"/>
              <w:jc w:val="distribute"/>
              <w:rPr>
                <w:rFonts w:hint="eastAsia" w:ascii="宋体" w:hAnsi="宋体" w:eastAsia="宋体" w:cs="宋体"/>
                <w:kern w:val="2"/>
                <w:sz w:val="24"/>
                <w:szCs w:val="24"/>
                <w:lang w:val="en-US" w:eastAsia="zh-CN" w:bidi="ar-SA"/>
              </w:rPr>
            </w:pPr>
          </w:p>
        </w:tc>
        <w:tc>
          <w:tcPr>
            <w:tcW w:w="638" w:type="dxa"/>
            <w:vMerge w:val="continue"/>
            <w:noWrap w:val="0"/>
            <w:vAlign w:val="center"/>
          </w:tcPr>
          <w:p>
            <w:pPr>
              <w:pStyle w:val="4"/>
              <w:snapToGrid w:val="0"/>
              <w:spacing w:before="0" w:after="0" w:line="240" w:lineRule="auto"/>
              <w:ind w:left="0" w:leftChars="0" w:firstLine="0" w:firstLineChars="0"/>
              <w:jc w:val="distribute"/>
              <w:rPr>
                <w:rFonts w:hint="eastAsia" w:ascii="宋体" w:hAnsi="宋体" w:eastAsia="宋体" w:cs="宋体"/>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622"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31</w:t>
            </w:r>
          </w:p>
        </w:tc>
        <w:tc>
          <w:tcPr>
            <w:tcW w:w="802"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8093</w:t>
            </w:r>
          </w:p>
        </w:tc>
        <w:tc>
          <w:tcPr>
            <w:tcW w:w="1029"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1454.94</w:t>
            </w:r>
          </w:p>
        </w:tc>
        <w:tc>
          <w:tcPr>
            <w:tcW w:w="951"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133</w:t>
            </w:r>
          </w:p>
        </w:tc>
        <w:tc>
          <w:tcPr>
            <w:tcW w:w="811"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1572</w:t>
            </w:r>
          </w:p>
        </w:tc>
        <w:tc>
          <w:tcPr>
            <w:tcW w:w="1035"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92</w:t>
            </w:r>
          </w:p>
        </w:tc>
        <w:tc>
          <w:tcPr>
            <w:tcW w:w="915"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40128</w:t>
            </w:r>
          </w:p>
        </w:tc>
        <w:tc>
          <w:tcPr>
            <w:tcW w:w="780"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0</w:t>
            </w:r>
          </w:p>
        </w:tc>
        <w:tc>
          <w:tcPr>
            <w:tcW w:w="815"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28.20</w:t>
            </w:r>
          </w:p>
        </w:tc>
        <w:tc>
          <w:tcPr>
            <w:tcW w:w="911" w:type="dxa"/>
            <w:noWrap w:val="0"/>
            <w:vAlign w:val="center"/>
          </w:tcPr>
          <w:p>
            <w:pPr>
              <w:pStyle w:val="4"/>
              <w:snapToGrid w:val="0"/>
              <w:spacing w:before="0" w:after="0" w:line="240" w:lineRule="auto"/>
              <w:ind w:left="0" w:leftChars="0" w:firstLine="0" w:firstLineChars="0"/>
              <w:jc w:val="center"/>
              <w:rPr>
                <w:rFonts w:hint="default" w:ascii="宋体" w:hAnsi="宋体" w:eastAsia="宋体" w:cs="宋体"/>
                <w:kern w:val="2"/>
                <w:sz w:val="20"/>
                <w:szCs w:val="20"/>
                <w:lang w:val="en-US" w:eastAsia="zh-CN" w:bidi="ar-SA"/>
              </w:rPr>
            </w:pPr>
            <w:r>
              <w:rPr>
                <w:rFonts w:hint="eastAsia" w:ascii="宋体" w:hAnsi="宋体" w:cs="宋体"/>
                <w:kern w:val="2"/>
                <w:sz w:val="20"/>
                <w:szCs w:val="20"/>
                <w:lang w:val="en-US" w:eastAsia="zh-CN" w:bidi="ar-SA"/>
              </w:rPr>
              <w:t>17</w:t>
            </w:r>
          </w:p>
        </w:tc>
        <w:tc>
          <w:tcPr>
            <w:tcW w:w="712"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0"/>
                <w:szCs w:val="20"/>
                <w:lang w:val="en-US" w:eastAsia="zh-CN" w:bidi="ar-SA"/>
              </w:rPr>
            </w:pPr>
            <w:r>
              <w:rPr>
                <w:rFonts w:hint="eastAsia" w:ascii="宋体" w:hAnsi="宋体" w:eastAsia="宋体" w:cs="宋体"/>
                <w:kern w:val="2"/>
                <w:sz w:val="20"/>
                <w:szCs w:val="20"/>
                <w:lang w:val="en-US" w:eastAsia="zh-CN" w:bidi="ar-SA"/>
              </w:rPr>
              <w:t>5</w:t>
            </w:r>
          </w:p>
        </w:tc>
        <w:tc>
          <w:tcPr>
            <w:tcW w:w="638" w:type="dxa"/>
            <w:noWrap w:val="0"/>
            <w:vAlign w:val="center"/>
          </w:tcPr>
          <w:p>
            <w:pPr>
              <w:pStyle w:val="4"/>
              <w:snapToGrid w:val="0"/>
              <w:spacing w:before="0" w:after="0" w:line="240" w:lineRule="auto"/>
              <w:ind w:left="0" w:leftChars="0" w:firstLine="0" w:firstLineChars="0"/>
              <w:jc w:val="center"/>
              <w:rPr>
                <w:rFonts w:hint="eastAsia" w:ascii="宋体" w:hAnsi="宋体" w:eastAsia="宋体" w:cs="宋体"/>
                <w:kern w:val="2"/>
                <w:sz w:val="20"/>
                <w:szCs w:val="20"/>
                <w:lang w:val="en-US" w:eastAsia="zh-CN" w:bidi="ar-SA"/>
              </w:rPr>
            </w:pPr>
            <w:r>
              <w:rPr>
                <w:rFonts w:hint="eastAsia" w:ascii="宋体" w:hAnsi="宋体" w:eastAsia="宋体" w:cs="宋体"/>
                <w:kern w:val="2"/>
                <w:sz w:val="20"/>
                <w:szCs w:val="20"/>
                <w:lang w:val="en-US" w:eastAsia="zh-CN" w:bidi="ar-SA"/>
              </w:rPr>
              <w:t>12</w:t>
            </w:r>
          </w:p>
        </w:tc>
      </w:tr>
    </w:tbl>
    <w:p>
      <w:pPr>
        <w:spacing w:line="240" w:lineRule="auto"/>
        <w:rPr>
          <w:rFonts w:eastAsia="仿宋_GB2312"/>
          <w:sz w:val="32"/>
          <w:szCs w:val="32"/>
        </w:rPr>
      </w:pPr>
    </w:p>
    <w:p>
      <w:pPr>
        <w:pStyle w:val="12"/>
        <w:keepNext w:val="0"/>
        <w:keepLines w:val="0"/>
        <w:pageBreakBefore w:val="0"/>
        <w:widowControl w:val="0"/>
        <w:kinsoku/>
        <w:wordWrap/>
        <w:overflowPunct/>
        <w:topLinePunct w:val="0"/>
        <w:autoSpaceDE/>
        <w:autoSpaceDN/>
        <w:bidi w:val="0"/>
        <w:adjustRightInd/>
        <w:snapToGrid/>
        <w:spacing w:before="0" w:beforeAutospacing="0" w:after="0" w:afterAutospacing="0" w:line="520" w:lineRule="exact"/>
        <w:ind w:firstLine="562" w:firstLineChars="200"/>
        <w:textAlignment w:val="auto"/>
        <w:outlineLvl w:val="0"/>
        <w:rPr>
          <w:rFonts w:hint="eastAsia" w:ascii="宋体" w:hAnsi="宋体" w:eastAsia="宋体" w:cs="宋体"/>
          <w:b/>
          <w:bCs/>
          <w:kern w:val="2"/>
          <w:sz w:val="28"/>
          <w:szCs w:val="28"/>
          <w:lang w:val="en-US" w:eastAsia="zh-CN" w:bidi="ar-SA"/>
        </w:rPr>
      </w:pPr>
      <w:bookmarkStart w:id="233" w:name="_Toc19323"/>
      <w:r>
        <w:rPr>
          <w:rFonts w:hint="eastAsia" w:ascii="宋体" w:hAnsi="宋体" w:eastAsia="宋体" w:cs="宋体"/>
          <w:b/>
          <w:bCs/>
          <w:kern w:val="2"/>
          <w:sz w:val="28"/>
          <w:szCs w:val="28"/>
          <w:lang w:val="en-US" w:eastAsia="zh-CN" w:bidi="ar-SA"/>
        </w:rPr>
        <w:t>8.挑战与展望</w:t>
      </w:r>
      <w:bookmarkEnd w:id="233"/>
    </w:p>
    <w:p>
      <w:pPr>
        <w:pStyle w:val="12"/>
        <w:keepNext w:val="0"/>
        <w:keepLines w:val="0"/>
        <w:pageBreakBefore w:val="0"/>
        <w:widowControl w:val="0"/>
        <w:kinsoku/>
        <w:wordWrap/>
        <w:overflowPunct/>
        <w:topLinePunct w:val="0"/>
        <w:autoSpaceDE/>
        <w:autoSpaceDN/>
        <w:bidi w:val="0"/>
        <w:adjustRightInd/>
        <w:snapToGrid/>
        <w:spacing w:before="0" w:beforeAutospacing="0" w:after="0" w:afterAutospacing="0" w:line="520" w:lineRule="exact"/>
        <w:ind w:firstLine="562" w:firstLineChars="200"/>
        <w:textAlignment w:val="auto"/>
        <w:outlineLvl w:val="1"/>
        <w:rPr>
          <w:rFonts w:hint="eastAsia" w:ascii="宋体" w:hAnsi="宋体" w:eastAsia="宋体" w:cs="宋体"/>
          <w:b/>
          <w:bCs/>
          <w:kern w:val="2"/>
          <w:sz w:val="28"/>
          <w:szCs w:val="28"/>
          <w:lang w:val="en-US" w:eastAsia="zh-CN" w:bidi="ar-SA"/>
        </w:rPr>
      </w:pPr>
      <w:bookmarkStart w:id="234" w:name="_Toc27696"/>
      <w:r>
        <w:rPr>
          <w:rFonts w:hint="eastAsia" w:ascii="宋体" w:hAnsi="宋体" w:eastAsia="宋体" w:cs="宋体"/>
          <w:b/>
          <w:bCs/>
          <w:kern w:val="2"/>
          <w:sz w:val="28"/>
          <w:szCs w:val="28"/>
          <w:lang w:val="en-US" w:eastAsia="zh-CN" w:bidi="ar-SA"/>
        </w:rPr>
        <w:t>8.1面临挑战</w:t>
      </w:r>
      <w:bookmarkEnd w:id="234"/>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学院经过近几年的不懈努力，获得了快速发展，取得了一系列重大变化，综合办学实力和内涵建设水平有了较大的提升，技术技能型人才的培养质量跃上了新的台阶，形成了一定的办学特色和办学优势，为学院的持续发展奠定了坚实的基础。但是，学院在快速发展中还存在一些问题和不足，有待今后努力改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outlineLvl w:val="9"/>
        <w:rPr>
          <w:rFonts w:hint="eastAsia" w:ascii="宋体" w:hAnsi="宋体" w:eastAsia="宋体" w:cs="宋体"/>
          <w:kern w:val="2"/>
          <w:sz w:val="28"/>
          <w:szCs w:val="28"/>
          <w:lang w:val="en-US" w:eastAsia="zh-CN" w:bidi="ar-SA"/>
        </w:rPr>
      </w:pPr>
      <w:bookmarkStart w:id="235" w:name="_Toc5642"/>
      <w:r>
        <w:rPr>
          <w:rFonts w:hint="eastAsia" w:ascii="宋体" w:hAnsi="宋体" w:eastAsia="宋体" w:cs="宋体"/>
          <w:kern w:val="2"/>
          <w:sz w:val="28"/>
          <w:szCs w:val="28"/>
          <w:lang w:val="en-US" w:eastAsia="zh-CN" w:bidi="ar-SA"/>
        </w:rPr>
        <w:t>（1） 教学团队建设有待加强</w:t>
      </w:r>
      <w:bookmarkEnd w:id="235"/>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教学团队是以教学育人为共同的远景目标，以增强教学效果、推进教学改革、提高人才培养质量为业绩目标，为完成教学任务而明确分工协作、相互承担责任的知识技能互补的教员个体所组成的群体。高校教学团队建设是一项需要长期努力的系统工作，不仅需要学校和各级教育部门在政策环境、体制机制、资源投入等方面的支持，还需要专业自身加强建设以及团队成员间相互协作、共同提高。</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学院要继续坚持外引内培，加强专业带头人的培养，进一步创新培育机制，以校企深度融合和质量提升工程为抓手，深化教学改革，提升“双师型”教学团队的整体水平和影响力。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outlineLvl w:val="9"/>
        <w:rPr>
          <w:rFonts w:hint="eastAsia" w:ascii="宋体" w:hAnsi="宋体" w:eastAsia="宋体" w:cs="宋体"/>
          <w:kern w:val="2"/>
          <w:sz w:val="28"/>
          <w:szCs w:val="28"/>
          <w:lang w:val="en-US" w:eastAsia="zh-CN" w:bidi="ar-SA"/>
        </w:rPr>
      </w:pPr>
      <w:bookmarkStart w:id="236" w:name="_Toc14757"/>
      <w:r>
        <w:rPr>
          <w:rFonts w:hint="eastAsia" w:ascii="宋体" w:hAnsi="宋体" w:eastAsia="宋体" w:cs="宋体"/>
          <w:kern w:val="2"/>
          <w:sz w:val="28"/>
          <w:szCs w:val="28"/>
          <w:lang w:val="en-US" w:eastAsia="zh-CN" w:bidi="ar-SA"/>
        </w:rPr>
        <w:t>（2）继续深化教育教学改革</w:t>
      </w:r>
      <w:bookmarkEnd w:id="236"/>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充分发挥专业群核心专业的引领作用，强化专业群建设和课程改革，努力实现专业设置与产业、职业岗位对接，专业课程内容与职业标准对接，教学过程与生产过程对接，学历证书与职业资格证书对接，实施全面素质教育，培育学生的社会主义核心价值观，培养学生良好的职业道德观，增强学生的实践能力、创新能力、就业能力与创业能力。</w:t>
      </w:r>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outlineLvl w:val="9"/>
        <w:rPr>
          <w:rFonts w:hint="eastAsia" w:ascii="宋体" w:hAnsi="宋体" w:eastAsia="宋体" w:cs="宋体"/>
          <w:kern w:val="2"/>
          <w:sz w:val="28"/>
          <w:szCs w:val="28"/>
          <w:lang w:val="en-US" w:eastAsia="zh-CN" w:bidi="ar-SA"/>
        </w:rPr>
      </w:pPr>
      <w:bookmarkStart w:id="237" w:name="_Toc11683"/>
      <w:r>
        <w:rPr>
          <w:rFonts w:hint="eastAsia" w:ascii="宋体" w:hAnsi="宋体" w:eastAsia="宋体" w:cs="宋体"/>
          <w:kern w:val="2"/>
          <w:sz w:val="28"/>
          <w:szCs w:val="28"/>
          <w:lang w:val="en-US" w:eastAsia="zh-CN" w:bidi="ar-SA"/>
        </w:rPr>
        <w:t>（3）进一步推进产教融合，校企协同育人</w:t>
      </w:r>
      <w:bookmarkEnd w:id="237"/>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学院要继续坚持校企深度合作，实施工学结合的办学模式，进一步探索突破体制机制障碍，创新校企合作机制，争取地方政府和行业协会支持和参与，加强与校外实习基地与产学研合作单位的紧密联系，拓展校企合作的深度和广度，引入行业文化和企业文化，推进校企一体化育人，进一步提升学校服务地方经济社会发展的能力。</w:t>
      </w:r>
    </w:p>
    <w:p>
      <w:pPr>
        <w:pStyle w:val="12"/>
        <w:keepNext w:val="0"/>
        <w:keepLines w:val="0"/>
        <w:pageBreakBefore w:val="0"/>
        <w:widowControl w:val="0"/>
        <w:kinsoku/>
        <w:wordWrap/>
        <w:overflowPunct/>
        <w:topLinePunct w:val="0"/>
        <w:autoSpaceDE/>
        <w:autoSpaceDN/>
        <w:bidi w:val="0"/>
        <w:adjustRightInd/>
        <w:snapToGrid/>
        <w:spacing w:before="0" w:beforeAutospacing="0" w:after="0" w:afterAutospacing="0" w:line="520" w:lineRule="exact"/>
        <w:ind w:firstLine="641"/>
        <w:textAlignment w:val="auto"/>
        <w:outlineLvl w:val="1"/>
        <w:rPr>
          <w:rFonts w:hint="eastAsia" w:ascii="宋体" w:hAnsi="宋体" w:eastAsia="宋体" w:cs="宋体"/>
          <w:b/>
          <w:bCs/>
          <w:kern w:val="2"/>
          <w:sz w:val="28"/>
          <w:szCs w:val="28"/>
          <w:lang w:val="en-US" w:eastAsia="zh-CN" w:bidi="ar-SA"/>
        </w:rPr>
      </w:pPr>
      <w:bookmarkStart w:id="238" w:name="_Toc3465"/>
      <w:r>
        <w:rPr>
          <w:rFonts w:hint="eastAsia" w:ascii="宋体" w:hAnsi="宋体" w:eastAsia="宋体" w:cs="宋体"/>
          <w:b/>
          <w:bCs/>
          <w:kern w:val="2"/>
          <w:sz w:val="28"/>
          <w:szCs w:val="28"/>
          <w:lang w:val="en-US" w:eastAsia="zh-CN" w:bidi="ar-SA"/>
        </w:rPr>
        <w:t>8.2未来展望</w:t>
      </w:r>
      <w:bookmarkEnd w:id="238"/>
    </w:p>
    <w:p>
      <w:pPr>
        <w:keepNext w:val="0"/>
        <w:keepLines w:val="0"/>
        <w:pageBreakBefore w:val="0"/>
        <w:widowControl w:val="0"/>
        <w:kinsoku/>
        <w:wordWrap/>
        <w:overflowPunct/>
        <w:topLinePunct w:val="0"/>
        <w:autoSpaceDE/>
        <w:autoSpaceDN/>
        <w:bidi w:val="0"/>
        <w:adjustRightInd/>
        <w:snapToGrid/>
        <w:spacing w:before="0" w:after="0" w:line="520" w:lineRule="exact"/>
        <w:ind w:firstLine="560" w:firstLineChars="200"/>
        <w:textAlignment w:val="auto"/>
        <w:rPr>
          <w:rFonts w:hint="eastAsia" w:eastAsia="仿宋_GB2312"/>
          <w:b/>
          <w:bCs/>
          <w:sz w:val="32"/>
          <w:szCs w:val="32"/>
        </w:rPr>
      </w:pPr>
      <w:r>
        <w:rPr>
          <w:rFonts w:hint="eastAsia" w:ascii="宋体" w:hAnsi="宋体" w:eastAsia="宋体" w:cs="宋体"/>
          <w:kern w:val="2"/>
          <w:sz w:val="28"/>
          <w:szCs w:val="28"/>
          <w:lang w:val="en-US" w:eastAsia="zh-CN" w:bidi="ar-SA"/>
        </w:rPr>
        <w:t>社会在发展，学校在发展，发展永无止境。学院将加大投入，不断改善学校条件，增强办学实力，加强内涵建设，努力提升办学水平，提高学院的核心竞争力，全面推进育人质量的提高，在加强内涵建设的基础上，围绕“创意”做文章，办出“创意”特色，努力把学校建设成为知名度高、有特色、高水平的职业技术学院，加强高素质技术技能型人才的培养，为无锡和苏南区域社会经济建设做出积极的贡献。</w:t>
      </w:r>
    </w:p>
    <w:p>
      <w:pPr>
        <w:tabs>
          <w:tab w:val="left" w:pos="958"/>
          <w:tab w:val="left" w:pos="1078"/>
        </w:tabs>
        <w:spacing w:line="240" w:lineRule="auto"/>
        <w:ind w:firstLine="643" w:firstLineChars="200"/>
        <w:outlineLvl w:val="0"/>
        <w:rPr>
          <w:rFonts w:hint="eastAsia" w:eastAsia="仿宋_GB2312"/>
          <w:b/>
          <w:bCs/>
          <w:sz w:val="32"/>
          <w:szCs w:val="32"/>
        </w:rPr>
      </w:pPr>
    </w:p>
    <w:p>
      <w:pPr>
        <w:tabs>
          <w:tab w:val="left" w:pos="958"/>
          <w:tab w:val="left" w:pos="1078"/>
        </w:tabs>
        <w:spacing w:line="240" w:lineRule="auto"/>
        <w:ind w:firstLine="643" w:firstLineChars="200"/>
        <w:outlineLvl w:val="0"/>
        <w:rPr>
          <w:rFonts w:hint="eastAsia" w:eastAsia="仿宋_GB2312"/>
          <w:b/>
          <w:bCs/>
          <w:sz w:val="32"/>
          <w:szCs w:val="32"/>
        </w:rPr>
      </w:pPr>
    </w:p>
    <w:p>
      <w:pPr>
        <w:tabs>
          <w:tab w:val="left" w:pos="958"/>
          <w:tab w:val="left" w:pos="1078"/>
        </w:tabs>
        <w:spacing w:line="240" w:lineRule="auto"/>
        <w:ind w:firstLine="643" w:firstLineChars="200"/>
        <w:outlineLvl w:val="0"/>
        <w:rPr>
          <w:rFonts w:hint="eastAsia" w:eastAsia="仿宋_GB2312"/>
          <w:b/>
          <w:bCs/>
          <w:sz w:val="32"/>
          <w:szCs w:val="32"/>
        </w:rPr>
      </w:pPr>
    </w:p>
    <w:p>
      <w:pPr>
        <w:tabs>
          <w:tab w:val="left" w:pos="958"/>
          <w:tab w:val="left" w:pos="1078"/>
        </w:tabs>
        <w:spacing w:line="240" w:lineRule="auto"/>
        <w:ind w:firstLine="643" w:firstLineChars="200"/>
        <w:outlineLvl w:val="0"/>
        <w:rPr>
          <w:rFonts w:hint="eastAsia" w:eastAsia="仿宋_GB2312"/>
          <w:b/>
          <w:bCs/>
          <w:sz w:val="32"/>
          <w:szCs w:val="32"/>
        </w:rPr>
      </w:pPr>
    </w:p>
    <w:p>
      <w:pPr>
        <w:tabs>
          <w:tab w:val="left" w:pos="958"/>
          <w:tab w:val="left" w:pos="1078"/>
        </w:tabs>
        <w:spacing w:line="240" w:lineRule="auto"/>
        <w:ind w:firstLine="643" w:firstLineChars="200"/>
        <w:outlineLvl w:val="0"/>
        <w:rPr>
          <w:rFonts w:hint="eastAsia" w:eastAsia="仿宋_GB2312"/>
          <w:b/>
          <w:bCs/>
          <w:sz w:val="32"/>
          <w:szCs w:val="32"/>
        </w:rPr>
      </w:pPr>
    </w:p>
    <w:p>
      <w:pPr>
        <w:tabs>
          <w:tab w:val="left" w:pos="958"/>
          <w:tab w:val="left" w:pos="1078"/>
        </w:tabs>
        <w:spacing w:line="240" w:lineRule="auto"/>
        <w:ind w:firstLine="643" w:firstLineChars="200"/>
        <w:outlineLvl w:val="0"/>
        <w:rPr>
          <w:rFonts w:hint="eastAsia" w:eastAsia="仿宋_GB2312"/>
          <w:b/>
          <w:bCs/>
          <w:sz w:val="32"/>
          <w:szCs w:val="32"/>
        </w:rPr>
      </w:pPr>
    </w:p>
    <w:p>
      <w:pPr>
        <w:tabs>
          <w:tab w:val="left" w:pos="958"/>
          <w:tab w:val="left" w:pos="1078"/>
        </w:tabs>
        <w:spacing w:line="240" w:lineRule="auto"/>
        <w:ind w:firstLine="643" w:firstLineChars="200"/>
        <w:outlineLvl w:val="0"/>
        <w:rPr>
          <w:rFonts w:hint="eastAsia" w:eastAsia="仿宋_GB2312"/>
          <w:b/>
          <w:bCs/>
          <w:sz w:val="32"/>
          <w:szCs w:val="32"/>
        </w:rPr>
      </w:pPr>
      <w:bookmarkStart w:id="239" w:name="_Toc19844"/>
      <w:r>
        <w:rPr>
          <w:rFonts w:hint="eastAsia" w:eastAsia="仿宋_GB2312"/>
          <w:b/>
          <w:bCs/>
          <w:sz w:val="32"/>
          <w:szCs w:val="32"/>
        </w:rPr>
        <w:t>附表</w:t>
      </w:r>
      <w:bookmarkEnd w:id="239"/>
    </w:p>
    <w:p>
      <w:pPr>
        <w:tabs>
          <w:tab w:val="left" w:pos="958"/>
          <w:tab w:val="left" w:pos="1078"/>
        </w:tabs>
        <w:ind w:firstLine="643" w:firstLineChars="200"/>
        <w:rPr>
          <w:rFonts w:hint="eastAsia" w:eastAsia="仿宋_GB2312"/>
          <w:b/>
          <w:bCs/>
          <w:sz w:val="32"/>
          <w:szCs w:val="32"/>
        </w:rPr>
      </w:pPr>
      <w:r>
        <w:rPr>
          <w:rFonts w:hint="eastAsia" w:eastAsia="仿宋_GB2312"/>
          <w:b/>
          <w:bCs/>
          <w:sz w:val="32"/>
          <w:szCs w:val="32"/>
          <w:lang w:eastAsia="zh-CN"/>
        </w:rPr>
        <w:drawing>
          <wp:anchor distT="0" distB="0" distL="114300" distR="114300" simplePos="0" relativeHeight="251713536" behindDoc="0" locked="0" layoutInCell="1" allowOverlap="1">
            <wp:simplePos x="0" y="0"/>
            <wp:positionH relativeFrom="column">
              <wp:posOffset>130175</wp:posOffset>
            </wp:positionH>
            <wp:positionV relativeFrom="paragraph">
              <wp:posOffset>468630</wp:posOffset>
            </wp:positionV>
            <wp:extent cx="5274310" cy="3616325"/>
            <wp:effectExtent l="0" t="0" r="2540" b="3175"/>
            <wp:wrapNone/>
            <wp:docPr id="24" name="图片 24" descr="人才培养质量计分卡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人才培养质量计分卡_new"/>
                    <pic:cNvPicPr>
                      <a:picLocks noChangeAspect="1"/>
                    </pic:cNvPicPr>
                  </pic:nvPicPr>
                  <pic:blipFill>
                    <a:blip r:embed="rId65"/>
                    <a:stretch>
                      <a:fillRect/>
                    </a:stretch>
                  </pic:blipFill>
                  <pic:spPr>
                    <a:xfrm>
                      <a:off x="0" y="0"/>
                      <a:ext cx="5274310" cy="3616325"/>
                    </a:xfrm>
                    <a:prstGeom prst="rect">
                      <a:avLst/>
                    </a:prstGeom>
                  </pic:spPr>
                </pic:pic>
              </a:graphicData>
            </a:graphic>
          </wp:anchor>
        </w:drawing>
      </w:r>
      <w:r>
        <w:rPr>
          <w:rFonts w:hint="eastAsia" w:eastAsia="仿宋_GB2312"/>
          <w:sz w:val="32"/>
          <w:szCs w:val="32"/>
        </w:rPr>
        <w:t>表1 计分卡</w:t>
      </w:r>
    </w:p>
    <w:p>
      <w:pPr>
        <w:tabs>
          <w:tab w:val="left" w:pos="958"/>
          <w:tab w:val="left" w:pos="1078"/>
        </w:tabs>
        <w:spacing w:line="240" w:lineRule="auto"/>
        <w:ind w:firstLine="643" w:firstLineChars="200"/>
        <w:outlineLvl w:val="0"/>
        <w:rPr>
          <w:rFonts w:hint="eastAsia" w:eastAsia="仿宋_GB2312"/>
          <w:b/>
          <w:bCs/>
          <w:sz w:val="32"/>
          <w:szCs w:val="32"/>
          <w:lang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tabs>
          <w:tab w:val="left" w:pos="958"/>
          <w:tab w:val="left" w:pos="1078"/>
        </w:tabs>
        <w:ind w:firstLine="640" w:firstLineChars="200"/>
        <w:rPr>
          <w:rFonts w:hint="eastAsia" w:eastAsia="仿宋_GB2312"/>
          <w:sz w:val="32"/>
          <w:szCs w:val="32"/>
        </w:rPr>
      </w:pPr>
      <w:r>
        <w:rPr>
          <w:rFonts w:hint="default" w:eastAsia="仿宋_GB2312"/>
          <w:sz w:val="32"/>
          <w:szCs w:val="32"/>
          <w:lang w:val="en-US" w:eastAsia="zh-CN"/>
        </w:rPr>
        <w:drawing>
          <wp:anchor distT="0" distB="0" distL="114300" distR="114300" simplePos="0" relativeHeight="251714560" behindDoc="0" locked="0" layoutInCell="1" allowOverlap="1">
            <wp:simplePos x="0" y="0"/>
            <wp:positionH relativeFrom="column">
              <wp:posOffset>558800</wp:posOffset>
            </wp:positionH>
            <wp:positionV relativeFrom="paragraph">
              <wp:posOffset>363855</wp:posOffset>
            </wp:positionV>
            <wp:extent cx="4040505" cy="8336915"/>
            <wp:effectExtent l="0" t="0" r="17145" b="6985"/>
            <wp:wrapNone/>
            <wp:docPr id="61" name="图片 61" descr="教学资源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教学资源表_new"/>
                    <pic:cNvPicPr>
                      <a:picLocks noChangeAspect="1"/>
                    </pic:cNvPicPr>
                  </pic:nvPicPr>
                  <pic:blipFill>
                    <a:blip r:embed="rId66"/>
                    <a:stretch>
                      <a:fillRect/>
                    </a:stretch>
                  </pic:blipFill>
                  <pic:spPr>
                    <a:xfrm>
                      <a:off x="0" y="0"/>
                      <a:ext cx="4040505" cy="8336915"/>
                    </a:xfrm>
                    <a:prstGeom prst="rect">
                      <a:avLst/>
                    </a:prstGeom>
                  </pic:spPr>
                </pic:pic>
              </a:graphicData>
            </a:graphic>
          </wp:anchor>
        </w:drawing>
      </w:r>
      <w:r>
        <w:rPr>
          <w:rFonts w:hint="eastAsia" w:eastAsia="仿宋_GB2312"/>
          <w:sz w:val="32"/>
          <w:szCs w:val="32"/>
        </w:rPr>
        <w:t>表3 教学资源表</w:t>
      </w: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r>
        <w:rPr>
          <w:rFonts w:hint="default" w:eastAsia="仿宋_GB2312"/>
          <w:sz w:val="32"/>
          <w:szCs w:val="32"/>
          <w:lang w:val="en-US" w:eastAsia="zh-CN"/>
        </w:rPr>
        <w:drawing>
          <wp:anchor distT="0" distB="0" distL="114300" distR="114300" simplePos="0" relativeHeight="251715584" behindDoc="0" locked="0" layoutInCell="1" allowOverlap="1">
            <wp:simplePos x="0" y="0"/>
            <wp:positionH relativeFrom="column">
              <wp:posOffset>139700</wp:posOffset>
            </wp:positionH>
            <wp:positionV relativeFrom="paragraph">
              <wp:posOffset>462915</wp:posOffset>
            </wp:positionV>
            <wp:extent cx="5274310" cy="5274310"/>
            <wp:effectExtent l="0" t="0" r="2540" b="2540"/>
            <wp:wrapNone/>
            <wp:docPr id="62" name="图片 62" descr="服务贡献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服务贡献表_new"/>
                    <pic:cNvPicPr>
                      <a:picLocks noChangeAspect="1"/>
                    </pic:cNvPicPr>
                  </pic:nvPicPr>
                  <pic:blipFill>
                    <a:blip r:embed="rId67"/>
                    <a:stretch>
                      <a:fillRect/>
                    </a:stretch>
                  </pic:blipFill>
                  <pic:spPr>
                    <a:xfrm>
                      <a:off x="0" y="0"/>
                      <a:ext cx="5274310" cy="5274310"/>
                    </a:xfrm>
                    <a:prstGeom prst="rect">
                      <a:avLst/>
                    </a:prstGeom>
                  </pic:spPr>
                </pic:pic>
              </a:graphicData>
            </a:graphic>
          </wp:anchor>
        </w:drawing>
      </w:r>
      <w:r>
        <w:rPr>
          <w:rFonts w:hint="eastAsia" w:eastAsia="仿宋_GB2312"/>
          <w:sz w:val="32"/>
          <w:szCs w:val="32"/>
        </w:rPr>
        <w:t>表</w:t>
      </w:r>
      <w:r>
        <w:rPr>
          <w:rFonts w:hint="eastAsia" w:eastAsia="仿宋_GB2312"/>
          <w:sz w:val="32"/>
          <w:szCs w:val="32"/>
          <w:lang w:val="en-US" w:eastAsia="zh-CN"/>
        </w:rPr>
        <w:t>4</w:t>
      </w:r>
      <w:r>
        <w:rPr>
          <w:rFonts w:hint="eastAsia" w:eastAsia="仿宋_GB2312"/>
          <w:sz w:val="32"/>
          <w:szCs w:val="32"/>
        </w:rPr>
        <w:t xml:space="preserve"> 服务贡献表</w:t>
      </w: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r>
        <w:rPr>
          <w:rFonts w:hint="eastAsia" w:eastAsia="仿宋_GB2312"/>
          <w:sz w:val="32"/>
          <w:szCs w:val="32"/>
        </w:rPr>
        <w:t>表</w:t>
      </w:r>
      <w:r>
        <w:rPr>
          <w:rFonts w:hint="eastAsia" w:eastAsia="仿宋_GB2312"/>
          <w:sz w:val="32"/>
          <w:szCs w:val="32"/>
          <w:lang w:val="en-US" w:eastAsia="zh-CN"/>
        </w:rPr>
        <w:t>5</w:t>
      </w:r>
      <w:r>
        <w:rPr>
          <w:rFonts w:hint="eastAsia" w:eastAsia="仿宋_GB2312"/>
          <w:sz w:val="32"/>
          <w:szCs w:val="32"/>
        </w:rPr>
        <w:t xml:space="preserve"> 国际影响表</w:t>
      </w:r>
    </w:p>
    <w:p>
      <w:pPr>
        <w:spacing w:line="240" w:lineRule="auto"/>
        <w:ind w:firstLine="640"/>
        <w:rPr>
          <w:rFonts w:hint="default" w:eastAsia="仿宋_GB2312"/>
          <w:sz w:val="32"/>
          <w:szCs w:val="32"/>
          <w:lang w:val="en-US" w:eastAsia="zh-CN"/>
        </w:rPr>
      </w:pPr>
      <w:r>
        <w:rPr>
          <w:rFonts w:hint="default" w:eastAsia="仿宋_GB2312"/>
          <w:sz w:val="32"/>
          <w:szCs w:val="32"/>
          <w:lang w:val="en-US" w:eastAsia="zh-CN"/>
        </w:rPr>
        <w:drawing>
          <wp:anchor distT="0" distB="0" distL="114300" distR="114300" simplePos="0" relativeHeight="251716608" behindDoc="0" locked="0" layoutInCell="1" allowOverlap="1">
            <wp:simplePos x="0" y="0"/>
            <wp:positionH relativeFrom="column">
              <wp:posOffset>-22225</wp:posOffset>
            </wp:positionH>
            <wp:positionV relativeFrom="paragraph">
              <wp:posOffset>26035</wp:posOffset>
            </wp:positionV>
            <wp:extent cx="5274310" cy="5650865"/>
            <wp:effectExtent l="0" t="0" r="2540" b="6985"/>
            <wp:wrapNone/>
            <wp:docPr id="63" name="图片 63" descr="国际影响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国际影响表_new"/>
                    <pic:cNvPicPr>
                      <a:picLocks noChangeAspect="1"/>
                    </pic:cNvPicPr>
                  </pic:nvPicPr>
                  <pic:blipFill>
                    <a:blip r:embed="rId68"/>
                    <a:stretch>
                      <a:fillRect/>
                    </a:stretch>
                  </pic:blipFill>
                  <pic:spPr>
                    <a:xfrm>
                      <a:off x="0" y="0"/>
                      <a:ext cx="5274310" cy="5650865"/>
                    </a:xfrm>
                    <a:prstGeom prst="rect">
                      <a:avLst/>
                    </a:prstGeom>
                  </pic:spPr>
                </pic:pic>
              </a:graphicData>
            </a:graphic>
          </wp:anchor>
        </w:drawing>
      </w: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r>
        <w:rPr>
          <w:rFonts w:hint="default" w:eastAsia="仿宋_GB2312"/>
          <w:sz w:val="32"/>
          <w:szCs w:val="32"/>
          <w:lang w:val="en-US" w:eastAsia="zh-CN"/>
        </w:rPr>
        <w:drawing>
          <wp:anchor distT="0" distB="0" distL="114300" distR="114300" simplePos="0" relativeHeight="251717632" behindDoc="0" locked="0" layoutInCell="1" allowOverlap="1">
            <wp:simplePos x="0" y="0"/>
            <wp:positionH relativeFrom="column">
              <wp:posOffset>15875</wp:posOffset>
            </wp:positionH>
            <wp:positionV relativeFrom="paragraph">
              <wp:posOffset>441325</wp:posOffset>
            </wp:positionV>
            <wp:extent cx="5274310" cy="6027420"/>
            <wp:effectExtent l="0" t="0" r="2540" b="11430"/>
            <wp:wrapNone/>
            <wp:docPr id="64" name="图片 64" descr="落实政策表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落实政策表_new"/>
                    <pic:cNvPicPr>
                      <a:picLocks noChangeAspect="1"/>
                    </pic:cNvPicPr>
                  </pic:nvPicPr>
                  <pic:blipFill>
                    <a:blip r:embed="rId69"/>
                    <a:stretch>
                      <a:fillRect/>
                    </a:stretch>
                  </pic:blipFill>
                  <pic:spPr>
                    <a:xfrm>
                      <a:off x="0" y="0"/>
                      <a:ext cx="5274310" cy="6027420"/>
                    </a:xfrm>
                    <a:prstGeom prst="rect">
                      <a:avLst/>
                    </a:prstGeom>
                  </pic:spPr>
                </pic:pic>
              </a:graphicData>
            </a:graphic>
          </wp:anchor>
        </w:drawing>
      </w:r>
      <w:r>
        <w:rPr>
          <w:rFonts w:hint="eastAsia" w:eastAsia="仿宋_GB2312"/>
          <w:sz w:val="32"/>
          <w:szCs w:val="32"/>
        </w:rPr>
        <w:t>表</w:t>
      </w:r>
      <w:r>
        <w:rPr>
          <w:rFonts w:hint="eastAsia" w:eastAsia="仿宋_GB2312"/>
          <w:sz w:val="32"/>
          <w:szCs w:val="32"/>
          <w:lang w:val="en-US" w:eastAsia="zh-CN"/>
        </w:rPr>
        <w:t xml:space="preserve">6 </w:t>
      </w:r>
      <w:r>
        <w:rPr>
          <w:rFonts w:hint="eastAsia" w:eastAsia="仿宋_GB2312"/>
          <w:sz w:val="32"/>
          <w:szCs w:val="32"/>
        </w:rPr>
        <w:t>落实政策表</w:t>
      </w: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ind w:firstLine="640"/>
        <w:rPr>
          <w:rFonts w:hint="default" w:eastAsia="仿宋_GB2312"/>
          <w:sz w:val="32"/>
          <w:szCs w:val="32"/>
          <w:lang w:val="en-US" w:eastAsia="zh-CN"/>
        </w:rPr>
      </w:pPr>
    </w:p>
    <w:p>
      <w:pPr>
        <w:spacing w:line="240" w:lineRule="auto"/>
        <w:rPr>
          <w:rFonts w:hint="default" w:eastAsia="仿宋_GB2312"/>
          <w:sz w:val="32"/>
          <w:szCs w:val="32"/>
          <w:lang w:val="en-US" w:eastAsia="zh-CN"/>
        </w:rPr>
      </w:pPr>
    </w:p>
    <w:p>
      <w:pPr>
        <w:spacing w:line="240" w:lineRule="auto"/>
        <w:rPr>
          <w:rFonts w:hint="default" w:eastAsia="仿宋_GB2312"/>
          <w:sz w:val="32"/>
          <w:szCs w:val="32"/>
          <w:lang w:val="en-US" w:eastAsia="zh-CN"/>
        </w:rPr>
      </w:pPr>
    </w:p>
    <w:p>
      <w:pPr>
        <w:spacing w:line="240" w:lineRule="auto"/>
        <w:rPr>
          <w:rFonts w:hint="default" w:eastAsia="仿宋_GB2312"/>
          <w:sz w:val="32"/>
          <w:szCs w:val="32"/>
          <w:lang w:val="en-US" w:eastAsia="zh-CN"/>
        </w:rPr>
      </w:pPr>
    </w:p>
    <w:p>
      <w:pPr>
        <w:spacing w:line="240" w:lineRule="auto"/>
        <w:rPr>
          <w:rFonts w:hint="default" w:eastAsia="仿宋_GB2312"/>
          <w:sz w:val="32"/>
          <w:szCs w:val="32"/>
          <w:lang w:val="en-US" w:eastAsia="zh-CN"/>
        </w:rPr>
        <w:sectPr>
          <w:footerReference r:id="rId7" w:type="default"/>
          <w:pgSz w:w="11906" w:h="16838"/>
          <w:pgMar w:top="1440" w:right="1800" w:bottom="1440" w:left="1800" w:header="851" w:footer="992" w:gutter="0"/>
          <w:pgNumType w:fmt="numberInDash" w:start="1"/>
          <w:cols w:space="425" w:num="1"/>
          <w:docGrid w:type="lines" w:linePitch="312" w:charSpace="0"/>
        </w:sectPr>
      </w:pPr>
    </w:p>
    <w:p>
      <w:pPr>
        <w:pStyle w:val="5"/>
        <w:spacing w:line="246" w:lineRule="auto"/>
      </w:pPr>
      <w:r>
        <mc:AlternateContent>
          <mc:Choice Requires="wps">
            <w:drawing>
              <wp:anchor distT="0" distB="0" distL="114300" distR="114300" simplePos="0" relativeHeight="251721728" behindDoc="1" locked="0" layoutInCell="1" allowOverlap="1">
                <wp:simplePos x="0" y="0"/>
                <wp:positionH relativeFrom="column">
                  <wp:posOffset>-1214755</wp:posOffset>
                </wp:positionH>
                <wp:positionV relativeFrom="paragraph">
                  <wp:posOffset>-909320</wp:posOffset>
                </wp:positionV>
                <wp:extent cx="7639050" cy="10697845"/>
                <wp:effectExtent l="0" t="0" r="0" b="8255"/>
                <wp:wrapNone/>
                <wp:docPr id="154" name="矩形 154"/>
                <wp:cNvGraphicFramePr/>
                <a:graphic xmlns:a="http://schemas.openxmlformats.org/drawingml/2006/main">
                  <a:graphicData uri="http://schemas.microsoft.com/office/word/2010/wordprocessingShape">
                    <wps:wsp>
                      <wps:cNvSpPr/>
                      <wps:spPr>
                        <a:xfrm>
                          <a:off x="0" y="-8515749"/>
                          <a:ext cx="7639050" cy="10697845"/>
                        </a:xfrm>
                        <a:prstGeom prst="rect">
                          <a:avLst/>
                        </a:prstGeom>
                        <a:solidFill>
                          <a:srgbClr val="144F87"/>
                        </a:solidFill>
                        <a:ln w="0">
                          <a:noFill/>
                        </a:ln>
                        <a:effectLst/>
                      </wps:spPr>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_x0000_s1026" o:spid="_x0000_s1026" o:spt="1" style="position:absolute;left:0pt;margin-left:-95.65pt;margin-top:-71.6pt;height:842.35pt;width:601.5pt;z-index:-251594752;mso-width-relative:page;mso-height-relative:page;" fillcolor="#144F87" filled="t" stroked="f" coordsize="21600,21600" o:gfxdata="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VcOCU2wAAAA8BAAAPAAAAAAAAAAEA&#10;IAAAACIAAABkcnMvZG93bnJldi54bWxQSwECFAAUAAAACACHTuJAHIy3t0UCAAB/BAAADgAAAAAA&#10;AAABACAAAAAqAQAAZHJzL2Uyb0RvYy54bWxQSwUGAAAAAAYABgBZAQAA4QUAAAAA&#10;">
                <v:fill on="t" focussize="0,0"/>
                <v:stroke on="f" weight="0pt"/>
                <v:imagedata o:title=""/>
                <o:lock v:ext="edit" aspectratio="f"/>
                <v:textbox inset="0mm,0mm,0mm,0mm"/>
              </v:rect>
            </w:pict>
          </mc:Fallback>
        </mc:AlternateContent>
      </w:r>
    </w:p>
    <w:p>
      <w:pPr>
        <w:pStyle w:val="5"/>
        <w:spacing w:line="246" w:lineRule="auto"/>
      </w:pPr>
    </w:p>
    <w:p>
      <w:pPr>
        <w:pStyle w:val="5"/>
        <w:spacing w:line="247" w:lineRule="auto"/>
      </w:pPr>
    </w:p>
    <w:p>
      <w:pPr>
        <w:pStyle w:val="5"/>
        <w:spacing w:line="247" w:lineRule="auto"/>
      </w:pPr>
    </w:p>
    <w:p>
      <w:pPr>
        <w:pStyle w:val="5"/>
        <w:spacing w:line="247" w:lineRule="auto"/>
      </w:pPr>
    </w:p>
    <w:p>
      <w:pPr>
        <w:pStyle w:val="5"/>
        <w:spacing w:line="247" w:lineRule="auto"/>
      </w:pPr>
      <w:r>
        <w:rPr>
          <w:position w:val="-121"/>
        </w:rPr>
        <w:drawing>
          <wp:anchor distT="0" distB="0" distL="114300" distR="114300" simplePos="0" relativeHeight="251722752" behindDoc="1" locked="0" layoutInCell="1" allowOverlap="1">
            <wp:simplePos x="0" y="0"/>
            <wp:positionH relativeFrom="column">
              <wp:posOffset>638810</wp:posOffset>
            </wp:positionH>
            <wp:positionV relativeFrom="paragraph">
              <wp:posOffset>53975</wp:posOffset>
            </wp:positionV>
            <wp:extent cx="4038600" cy="3872865"/>
            <wp:effectExtent l="0" t="0" r="0" b="0"/>
            <wp:wrapNone/>
            <wp:docPr id="67" name="图片 1" descr="C:/Users/Admin/Desktop/创意大logo2024.png创意大logo2024"/>
            <wp:cNvGraphicFramePr/>
            <a:graphic xmlns:a="http://schemas.openxmlformats.org/drawingml/2006/main">
              <a:graphicData uri="http://schemas.openxmlformats.org/drawingml/2006/picture">
                <pic:pic xmlns:pic="http://schemas.openxmlformats.org/drawingml/2006/picture">
                  <pic:nvPicPr>
                    <pic:cNvPr id="67" name="图片 1" descr="C:/Users/Admin/Desktop/创意大logo2024.png创意大logo2024"/>
                    <pic:cNvPicPr/>
                  </pic:nvPicPr>
                  <pic:blipFill>
                    <a:blip r:embed="rId70">
                      <a:clrChange>
                        <a:clrFrom>
                          <a:srgbClr val="FFFFFF"/>
                        </a:clrFrom>
                        <a:clrTo>
                          <a:srgbClr val="FFFFFF">
                            <a:alpha val="0"/>
                          </a:srgbClr>
                        </a:clrTo>
                      </a:clrChange>
                    </a:blip>
                    <a:srcRect t="7123" b="7123"/>
                    <a:stretch>
                      <a:fillRect/>
                    </a:stretch>
                  </pic:blipFill>
                  <pic:spPr>
                    <a:xfrm>
                      <a:off x="0" y="0"/>
                      <a:ext cx="4038600" cy="3872865"/>
                    </a:xfrm>
                    <a:prstGeom prst="rect">
                      <a:avLst/>
                    </a:prstGeom>
                    <a:noFill/>
                    <a:ln>
                      <a:noFill/>
                    </a:ln>
                  </pic:spPr>
                </pic:pic>
              </a:graphicData>
            </a:graphic>
          </wp:anchor>
        </w:drawing>
      </w:r>
    </w:p>
    <w:p>
      <w:pPr>
        <w:pStyle w:val="5"/>
        <w:spacing w:line="247" w:lineRule="auto"/>
      </w:pPr>
    </w:p>
    <w:p>
      <w:pPr>
        <w:pStyle w:val="5"/>
        <w:spacing w:line="247" w:lineRule="auto"/>
      </w:pPr>
    </w:p>
    <w:p>
      <w:pPr>
        <w:pStyle w:val="5"/>
        <w:spacing w:line="247" w:lineRule="auto"/>
      </w:pPr>
    </w:p>
    <w:p>
      <w:pPr>
        <w:pStyle w:val="5"/>
        <w:spacing w:line="247" w:lineRule="auto"/>
      </w:pPr>
      <w:r>
        <w:rPr>
          <w:rFonts w:hint="eastAsia" w:ascii="宋体" w:hAnsi="宋体" w:eastAsia="宋体" w:cs="宋体"/>
          <w:sz w:val="19"/>
          <w:szCs w:val="19"/>
          <w:lang w:eastAsia="zh-CN"/>
        </w:rPr>
        <w:drawing>
          <wp:anchor distT="0" distB="0" distL="114300" distR="114300" simplePos="0" relativeHeight="251723776" behindDoc="0" locked="0" layoutInCell="1" allowOverlap="1">
            <wp:simplePos x="0" y="0"/>
            <wp:positionH relativeFrom="column">
              <wp:posOffset>556260</wp:posOffset>
            </wp:positionH>
            <wp:positionV relativeFrom="paragraph">
              <wp:posOffset>56515</wp:posOffset>
            </wp:positionV>
            <wp:extent cx="4376420" cy="1724660"/>
            <wp:effectExtent l="0" t="0" r="5080" b="8890"/>
            <wp:wrapNone/>
            <wp:docPr id="68" name="图片 5" descr="创意logo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descr="创意logo2024"/>
                    <pic:cNvPicPr>
                      <a:picLocks noChangeAspect="1"/>
                    </pic:cNvPicPr>
                  </pic:nvPicPr>
                  <pic:blipFill>
                    <a:blip r:embed="rId11"/>
                    <a:srcRect l="18520"/>
                    <a:stretch>
                      <a:fillRect/>
                    </a:stretch>
                  </pic:blipFill>
                  <pic:spPr>
                    <a:xfrm>
                      <a:off x="0" y="0"/>
                      <a:ext cx="4376420" cy="1724660"/>
                    </a:xfrm>
                    <a:prstGeom prst="rect">
                      <a:avLst/>
                    </a:prstGeom>
                    <a:noFill/>
                    <a:ln>
                      <a:noFill/>
                    </a:ln>
                  </pic:spPr>
                </pic:pic>
              </a:graphicData>
            </a:graphic>
          </wp:anchor>
        </w:drawing>
      </w:r>
    </w:p>
    <w:p>
      <w:pPr>
        <w:pStyle w:val="5"/>
        <w:spacing w:line="247" w:lineRule="auto"/>
      </w:pPr>
    </w:p>
    <w:p>
      <w:pPr>
        <w:pStyle w:val="5"/>
        <w:spacing w:line="247" w:lineRule="auto"/>
      </w:pPr>
    </w:p>
    <w:p>
      <w:pPr>
        <w:spacing w:before="112" w:line="234" w:lineRule="auto"/>
        <w:ind w:left="1594"/>
        <w:rPr>
          <w:rFonts w:ascii="华文行楷" w:hAnsi="华文行楷" w:eastAsia="华文行楷" w:cs="华文行楷"/>
          <w:sz w:val="33"/>
          <w:szCs w:val="33"/>
        </w:rPr>
      </w:pPr>
    </w:p>
    <w:p>
      <w:pPr>
        <w:pStyle w:val="5"/>
        <w:spacing w:line="198" w:lineRule="auto"/>
        <w:ind w:left="1609"/>
        <w:rPr>
          <w:sz w:val="13"/>
          <w:szCs w:val="13"/>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ind w:left="892"/>
        <w:rPr>
          <w:rFonts w:ascii="黑体" w:hAnsi="黑体" w:eastAsia="黑体" w:cs="黑体"/>
          <w:b/>
          <w:bCs/>
          <w:color w:val="FFFFFF"/>
          <w:spacing w:val="-8"/>
          <w:sz w:val="19"/>
          <w:szCs w:val="19"/>
        </w:rPr>
      </w:pPr>
    </w:p>
    <w:p>
      <w:pPr>
        <w:spacing w:before="17" w:line="221" w:lineRule="auto"/>
        <w:rPr>
          <w:rFonts w:hint="default" w:ascii="黑体" w:hAnsi="黑体" w:eastAsia="黑体" w:cs="黑体"/>
          <w:sz w:val="19"/>
          <w:szCs w:val="19"/>
          <w:lang w:val="en-US" w:eastAsia="zh-CN"/>
        </w:rPr>
      </w:pPr>
      <w:r>
        <w:rPr>
          <w:rFonts w:ascii="黑体" w:hAnsi="黑体" w:eastAsia="黑体" w:cs="黑体"/>
          <w:b/>
          <w:bCs/>
          <w:color w:val="FFFFFF"/>
          <w:spacing w:val="-8"/>
          <w:sz w:val="19"/>
          <w:szCs w:val="19"/>
        </w:rPr>
        <w:t>地址：中国·</w:t>
      </w:r>
      <w:r>
        <w:rPr>
          <w:rFonts w:hint="eastAsia" w:ascii="黑体" w:hAnsi="黑体" w:eastAsia="黑体" w:cs="黑体"/>
          <w:b/>
          <w:bCs/>
          <w:color w:val="FFFFFF"/>
          <w:spacing w:val="-8"/>
          <w:sz w:val="19"/>
          <w:szCs w:val="19"/>
          <w:lang w:val="en-US" w:eastAsia="zh-CN"/>
        </w:rPr>
        <w:t>江苏</w:t>
      </w:r>
      <w:r>
        <w:rPr>
          <w:rFonts w:ascii="黑体" w:hAnsi="黑体" w:eastAsia="黑体" w:cs="黑体"/>
          <w:b/>
          <w:bCs/>
          <w:color w:val="FFFFFF"/>
          <w:spacing w:val="-8"/>
          <w:sz w:val="19"/>
          <w:szCs w:val="19"/>
        </w:rPr>
        <w:t>·</w:t>
      </w:r>
      <w:r>
        <w:rPr>
          <w:rFonts w:hint="eastAsia" w:ascii="黑体" w:hAnsi="黑体" w:eastAsia="黑体" w:cs="黑体"/>
          <w:b/>
          <w:bCs/>
          <w:color w:val="FFFFFF"/>
          <w:spacing w:val="-8"/>
          <w:sz w:val="19"/>
          <w:szCs w:val="19"/>
          <w:lang w:val="en-US" w:eastAsia="zh-CN"/>
        </w:rPr>
        <w:t>无锡</w:t>
      </w:r>
      <w:r>
        <w:rPr>
          <w:rFonts w:ascii="黑体" w:hAnsi="黑体" w:eastAsia="黑体" w:cs="黑体"/>
          <w:b/>
          <w:bCs/>
          <w:color w:val="FFFFFF"/>
          <w:spacing w:val="-8"/>
          <w:sz w:val="19"/>
          <w:szCs w:val="19"/>
        </w:rPr>
        <w:t>·</w:t>
      </w:r>
      <w:r>
        <w:rPr>
          <w:rFonts w:hint="eastAsia" w:ascii="黑体" w:hAnsi="黑体" w:eastAsia="黑体" w:cs="黑体"/>
          <w:b/>
          <w:bCs/>
          <w:color w:val="FFFFFF"/>
          <w:spacing w:val="-8"/>
          <w:sz w:val="19"/>
          <w:szCs w:val="19"/>
          <w:lang w:val="en-US" w:eastAsia="zh-CN"/>
        </w:rPr>
        <w:t>钱荣路80号</w:t>
      </w:r>
    </w:p>
    <w:p>
      <w:pPr>
        <w:spacing w:before="3" w:line="221" w:lineRule="auto"/>
        <w:rPr>
          <w:rFonts w:hint="default" w:ascii="黑体" w:hAnsi="黑体" w:eastAsia="黑体" w:cs="黑体"/>
          <w:sz w:val="19"/>
          <w:szCs w:val="19"/>
          <w:lang w:val="en-US" w:eastAsia="zh-CN"/>
        </w:rPr>
      </w:pPr>
      <w:r>
        <w:rPr>
          <w:rFonts w:ascii="黑体" w:hAnsi="黑体" w:eastAsia="黑体" w:cs="黑体"/>
          <w:b/>
          <w:bCs/>
          <w:color w:val="FFFFFF"/>
          <w:spacing w:val="2"/>
          <w:sz w:val="19"/>
          <w:szCs w:val="19"/>
        </w:rPr>
        <w:t>邮编：</w:t>
      </w:r>
      <w:r>
        <w:rPr>
          <w:rFonts w:hint="eastAsia" w:ascii="黑体" w:hAnsi="黑体" w:eastAsia="黑体" w:cs="黑体"/>
          <w:b/>
          <w:bCs/>
          <w:color w:val="FFFFFF"/>
          <w:spacing w:val="2"/>
          <w:sz w:val="19"/>
          <w:szCs w:val="19"/>
          <w:lang w:val="en-US" w:eastAsia="zh-CN"/>
        </w:rPr>
        <w:t>214064</w:t>
      </w:r>
    </w:p>
    <w:p>
      <w:pPr>
        <w:spacing w:before="6" w:line="221" w:lineRule="auto"/>
        <w:rPr>
          <w:rFonts w:hint="default" w:ascii="黑体" w:hAnsi="黑体" w:eastAsia="黑体" w:cs="黑体"/>
          <w:sz w:val="19"/>
          <w:szCs w:val="19"/>
          <w:lang w:val="en-US" w:eastAsia="zh-CN"/>
        </w:rPr>
      </w:pPr>
      <w:r>
        <w:rPr>
          <w:rFonts w:ascii="黑体" w:hAnsi="黑体" w:eastAsia="黑体" w:cs="黑体"/>
          <w:b/>
          <w:bCs/>
          <w:color w:val="FFFFFF"/>
          <w:spacing w:val="7"/>
          <w:sz w:val="19"/>
          <w:szCs w:val="19"/>
        </w:rPr>
        <w:t>电话：0</w:t>
      </w:r>
      <w:r>
        <w:rPr>
          <w:rFonts w:hint="eastAsia" w:ascii="黑体" w:hAnsi="黑体" w:eastAsia="黑体" w:cs="黑体"/>
          <w:b/>
          <w:bCs/>
          <w:color w:val="FFFFFF"/>
          <w:spacing w:val="7"/>
          <w:sz w:val="19"/>
          <w:szCs w:val="19"/>
          <w:lang w:val="en-US" w:eastAsia="zh-CN"/>
        </w:rPr>
        <w:t>510</w:t>
      </w:r>
      <w:r>
        <w:rPr>
          <w:rFonts w:ascii="黑体" w:hAnsi="黑体" w:eastAsia="黑体" w:cs="黑体"/>
          <w:b/>
          <w:bCs/>
          <w:color w:val="FFFFFF"/>
          <w:spacing w:val="7"/>
          <w:sz w:val="19"/>
          <w:szCs w:val="19"/>
        </w:rPr>
        <w:t>-8</w:t>
      </w:r>
      <w:r>
        <w:rPr>
          <w:rFonts w:hint="eastAsia" w:ascii="黑体" w:hAnsi="黑体" w:eastAsia="黑体" w:cs="黑体"/>
          <w:b/>
          <w:bCs/>
          <w:color w:val="FFFFFF"/>
          <w:spacing w:val="7"/>
          <w:sz w:val="19"/>
          <w:szCs w:val="19"/>
          <w:lang w:val="en-US" w:eastAsia="zh-CN"/>
        </w:rPr>
        <w:t>5528801</w:t>
      </w:r>
    </w:p>
    <w:p>
      <w:pPr>
        <w:spacing w:line="174" w:lineRule="auto"/>
        <w:rPr>
          <w:rFonts w:ascii="黑体" w:hAnsi="黑体" w:eastAsia="黑体" w:cs="黑体"/>
          <w:sz w:val="19"/>
          <w:szCs w:val="19"/>
        </w:rPr>
      </w:pPr>
      <w:r>
        <w:rPr>
          <w:rFonts w:ascii="黑体" w:hAnsi="黑体" w:eastAsia="黑体" w:cs="黑体"/>
          <w:b/>
          <w:bCs/>
          <w:color w:val="FFFFFF"/>
          <w:spacing w:val="9"/>
          <w:sz w:val="19"/>
          <w:szCs w:val="19"/>
        </w:rPr>
        <w:t>传真：</w:t>
      </w:r>
      <w:r>
        <w:rPr>
          <w:rFonts w:ascii="黑体" w:hAnsi="黑体" w:eastAsia="黑体" w:cs="黑体"/>
          <w:b/>
          <w:bCs/>
          <w:color w:val="FFFFFF"/>
          <w:spacing w:val="7"/>
          <w:sz w:val="19"/>
          <w:szCs w:val="19"/>
        </w:rPr>
        <w:t>0</w:t>
      </w:r>
      <w:r>
        <w:rPr>
          <w:rFonts w:hint="eastAsia" w:ascii="黑体" w:hAnsi="黑体" w:eastAsia="黑体" w:cs="黑体"/>
          <w:b/>
          <w:bCs/>
          <w:color w:val="FFFFFF"/>
          <w:spacing w:val="7"/>
          <w:sz w:val="19"/>
          <w:szCs w:val="19"/>
          <w:lang w:val="en-US" w:eastAsia="zh-CN"/>
        </w:rPr>
        <w:t>510</w:t>
      </w:r>
      <w:r>
        <w:rPr>
          <w:rFonts w:ascii="黑体" w:hAnsi="黑体" w:eastAsia="黑体" w:cs="黑体"/>
          <w:b/>
          <w:bCs/>
          <w:color w:val="FFFFFF"/>
          <w:spacing w:val="7"/>
          <w:sz w:val="19"/>
          <w:szCs w:val="19"/>
        </w:rPr>
        <w:t>-8</w:t>
      </w:r>
      <w:r>
        <w:rPr>
          <w:rFonts w:hint="eastAsia" w:ascii="黑体" w:hAnsi="黑体" w:eastAsia="黑体" w:cs="黑体"/>
          <w:b/>
          <w:bCs/>
          <w:color w:val="FFFFFF"/>
          <w:spacing w:val="7"/>
          <w:sz w:val="19"/>
          <w:szCs w:val="19"/>
          <w:lang w:val="en-US" w:eastAsia="zh-CN"/>
        </w:rPr>
        <w:t>5528801</w:t>
      </w:r>
    </w:p>
    <w:p>
      <w:pPr>
        <w:spacing w:before="8" w:line="217" w:lineRule="auto"/>
        <w:rPr>
          <w:rFonts w:hint="default" w:eastAsia="仿宋_GB2312"/>
          <w:sz w:val="32"/>
          <w:szCs w:val="32"/>
          <w:lang w:val="en-US" w:eastAsia="zh-CN"/>
        </w:rPr>
      </w:pPr>
      <w:r>
        <w:rPr>
          <w:rFonts w:ascii="黑体" w:hAnsi="黑体" w:eastAsia="黑体" w:cs="黑体"/>
          <w:b/>
          <w:bCs/>
          <w:color w:val="FFFFFF"/>
          <w:spacing w:val="-13"/>
          <w:sz w:val="19"/>
          <w:szCs w:val="19"/>
        </w:rPr>
        <w:t>网址：</w:t>
      </w:r>
      <w:r>
        <w:rPr>
          <w:rFonts w:ascii="黑体" w:hAnsi="黑体" w:eastAsia="黑体" w:cs="黑体"/>
          <w:color w:val="FFFFFF"/>
          <w:spacing w:val="-43"/>
          <w:sz w:val="19"/>
          <w:szCs w:val="19"/>
        </w:rPr>
        <w:t xml:space="preserve"> </w:t>
      </w:r>
      <w:r>
        <w:rPr>
          <w:rFonts w:hint="eastAsia" w:ascii="宋体" w:hAnsi="宋体" w:eastAsia="宋体" w:cs="宋体"/>
          <w:b/>
          <w:bCs/>
          <w:color w:val="FFFFFF"/>
          <w:spacing w:val="-13"/>
          <w:sz w:val="19"/>
          <w:szCs w:val="19"/>
        </w:rPr>
        <w:t>http://www.thcyzy.cn</w:t>
      </w:r>
    </w:p>
    <w:sectPr>
      <w:footerReference r:id="rId8" w:type="default"/>
      <w:pgSz w:w="11906" w:h="16838"/>
      <w:pgMar w:top="1440" w:right="1800" w:bottom="1440" w:left="1800" w:header="851" w:footer="992" w:gutter="0"/>
      <w:pgNumType w:fmt="numberInDash"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光行楷_CNKI">
    <w:altName w:val="宋体"/>
    <w:panose1 w:val="02000500000000000000"/>
    <w:charset w:val="86"/>
    <w:family w:val="auto"/>
    <w:pitch w:val="default"/>
    <w:sig w:usb0="00000000" w:usb1="00000000" w:usb2="00000016" w:usb3="00000000" w:csb0="0004000F" w:csb1="00000000"/>
  </w:font>
  <w:font w:name="ArialUnicodeMS">
    <w:altName w:val="宋体"/>
    <w:panose1 w:val="00000000000000000000"/>
    <w:charset w:val="86"/>
    <w:family w:val="auto"/>
    <w:pitch w:val="default"/>
    <w:sig w:usb0="00000000" w:usb1="00000000" w:usb2="00000000" w:usb3="00000000" w:csb0="00040000" w:csb1="00000000"/>
  </w:font>
  <w:font w:name="方正公文小标宋">
    <w:altName w:val="宋体"/>
    <w:panose1 w:val="02000500000000000000"/>
    <w:charset w:val="86"/>
    <w:family w:val="auto"/>
    <w:pitch w:val="default"/>
    <w:sig w:usb0="00000000" w:usb1="00000000" w:usb2="00000016" w:usb3="00000000" w:csb0="00040001"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Microsoft YaHei UI">
    <w:panose1 w:val="020B0503020204020204"/>
    <w:charset w:val="86"/>
    <w:family w:val="auto"/>
    <w:pitch w:val="default"/>
    <w:sig w:usb0="80000287" w:usb1="2ACF3C50" w:usb2="00000016" w:usb3="00000000" w:csb0="0004001F" w:csb1="00000000"/>
  </w:font>
  <w:font w:name="微软雅黑">
    <w:panose1 w:val="020B0503020204020204"/>
    <w:charset w:val="86"/>
    <w:family w:val="auto"/>
    <w:pitch w:val="default"/>
    <w:sig w:usb0="80000287" w:usb1="2ACF3C50" w:usb2="00000016" w:usb3="00000000" w:csb0="0004001F" w:csb1="00000000"/>
  </w:font>
  <w:font w:name="华文行楷">
    <w:panose1 w:val="02010800040101010101"/>
    <w:charset w:val="86"/>
    <w:family w:val="auto"/>
    <w:pitch w:val="default"/>
    <w:sig w:usb0="00000001" w:usb1="080F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pPr>
      <w:r>
        <w:separator/>
      </w:r>
    </w:p>
  </w:footnote>
  <w:footnote w:type="continuationSeparator" w:id="1">
    <w:p>
      <w:pPr>
        <w:spacing w:before="0" w:after="0"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E56C98"/>
    <w:multiLevelType w:val="singleLevel"/>
    <w:tmpl w:val="8EE56C98"/>
    <w:lvl w:ilvl="0" w:tentative="0">
      <w:start w:val="1"/>
      <w:numFmt w:val="chineseCounting"/>
      <w:suff w:val="nothing"/>
      <w:lvlText w:val="%1、"/>
      <w:lvlJc w:val="left"/>
      <w:rPr>
        <w:rFonts w:hint="eastAsia"/>
      </w:rPr>
    </w:lvl>
  </w:abstractNum>
  <w:abstractNum w:abstractNumId="1">
    <w:nsid w:val="ADE09D68"/>
    <w:multiLevelType w:val="singleLevel"/>
    <w:tmpl w:val="ADE09D68"/>
    <w:lvl w:ilvl="0" w:tentative="0">
      <w:start w:val="4"/>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cyMGNlNzc4ZGMxYjYxMzM1OTIyNWExNzFmMDhmODMifQ=="/>
  </w:docVars>
  <w:rsids>
    <w:rsidRoot w:val="5DC73BC8"/>
    <w:rsid w:val="018362EB"/>
    <w:rsid w:val="018624EE"/>
    <w:rsid w:val="13A818C3"/>
    <w:rsid w:val="16BF34C9"/>
    <w:rsid w:val="1C3278BC"/>
    <w:rsid w:val="1C940F54"/>
    <w:rsid w:val="1D656623"/>
    <w:rsid w:val="1E39033F"/>
    <w:rsid w:val="1F9574BD"/>
    <w:rsid w:val="20B9542D"/>
    <w:rsid w:val="22C61C32"/>
    <w:rsid w:val="26B91F19"/>
    <w:rsid w:val="2868435B"/>
    <w:rsid w:val="28C63A03"/>
    <w:rsid w:val="2A1B4A63"/>
    <w:rsid w:val="2B4B3608"/>
    <w:rsid w:val="2F3F7472"/>
    <w:rsid w:val="35715790"/>
    <w:rsid w:val="36DF0B57"/>
    <w:rsid w:val="38AB069C"/>
    <w:rsid w:val="3C0E4427"/>
    <w:rsid w:val="3CF64958"/>
    <w:rsid w:val="420C1409"/>
    <w:rsid w:val="447B2F60"/>
    <w:rsid w:val="46AB7443"/>
    <w:rsid w:val="46E26BDC"/>
    <w:rsid w:val="4C0A74A8"/>
    <w:rsid w:val="4CE52F83"/>
    <w:rsid w:val="50047BC4"/>
    <w:rsid w:val="51275BBC"/>
    <w:rsid w:val="514021AB"/>
    <w:rsid w:val="570023E5"/>
    <w:rsid w:val="59FE79C2"/>
    <w:rsid w:val="5A3D43FE"/>
    <w:rsid w:val="5D27696B"/>
    <w:rsid w:val="5DC73BC8"/>
    <w:rsid w:val="5E4E57A8"/>
    <w:rsid w:val="64DB76D5"/>
    <w:rsid w:val="66640B16"/>
    <w:rsid w:val="666E17EF"/>
    <w:rsid w:val="69BA571F"/>
    <w:rsid w:val="6AB020CE"/>
    <w:rsid w:val="6DA505FF"/>
    <w:rsid w:val="6F9F35C6"/>
    <w:rsid w:val="70CF670A"/>
    <w:rsid w:val="73330CD2"/>
    <w:rsid w:val="773037C0"/>
    <w:rsid w:val="7AE0769F"/>
    <w:rsid w:val="7B97031E"/>
    <w:rsid w:val="7D293B6F"/>
    <w:rsid w:val="7E2547CF"/>
    <w:rsid w:val="7F635C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before="120" w:after="120" w:line="360" w:lineRule="auto"/>
      <w:jc w:val="both"/>
    </w:pPr>
    <w:rPr>
      <w:rFonts w:ascii="Calibri" w:hAnsi="Calibri" w:eastAsia="宋体" w:cs="Times New Roman"/>
      <w:kern w:val="2"/>
      <w:sz w:val="24"/>
      <w:szCs w:val="24"/>
      <w:lang w:val="en-US" w:eastAsia="zh-CN" w:bidi="ar-SA"/>
    </w:rPr>
  </w:style>
  <w:style w:type="paragraph" w:styleId="2">
    <w:name w:val="heading 1"/>
    <w:basedOn w:val="1"/>
    <w:next w:val="1"/>
    <w:autoRedefine/>
    <w:qFormat/>
    <w:uiPriority w:val="9"/>
    <w:pPr>
      <w:keepNext/>
      <w:keepLines/>
      <w:spacing w:before="340" w:after="330" w:line="578" w:lineRule="auto"/>
      <w:outlineLvl w:val="0"/>
    </w:pPr>
    <w:rPr>
      <w:b/>
      <w:bCs/>
      <w:kern w:val="44"/>
      <w:sz w:val="44"/>
      <w:szCs w:val="44"/>
    </w:rPr>
  </w:style>
  <w:style w:type="character" w:default="1" w:styleId="15">
    <w:name w:val="Default Paragraph Font"/>
    <w:autoRedefine/>
    <w:semiHidden/>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3">
    <w:name w:val="Normal Indent"/>
    <w:basedOn w:val="1"/>
    <w:next w:val="4"/>
    <w:autoRedefine/>
    <w:qFormat/>
    <w:uiPriority w:val="0"/>
    <w:pPr>
      <w:ind w:firstLine="420" w:firstLineChars="200"/>
    </w:pPr>
  </w:style>
  <w:style w:type="paragraph" w:styleId="4">
    <w:name w:val="Body Text First Indent"/>
    <w:basedOn w:val="5"/>
    <w:autoRedefine/>
    <w:qFormat/>
    <w:uiPriority w:val="0"/>
    <w:pPr>
      <w:ind w:left="200" w:leftChars="200" w:firstLine="420" w:firstLineChars="100"/>
    </w:pPr>
  </w:style>
  <w:style w:type="paragraph" w:styleId="5">
    <w:name w:val="Body Text"/>
    <w:basedOn w:val="1"/>
    <w:autoRedefine/>
    <w:unhideWhenUsed/>
    <w:qFormat/>
    <w:uiPriority w:val="99"/>
  </w:style>
  <w:style w:type="paragraph" w:styleId="6">
    <w:name w:val="caption"/>
    <w:basedOn w:val="1"/>
    <w:next w:val="1"/>
    <w:autoRedefine/>
    <w:semiHidden/>
    <w:unhideWhenUsed/>
    <w:qFormat/>
    <w:uiPriority w:val="0"/>
    <w:rPr>
      <w:rFonts w:ascii="Arial" w:hAnsi="Arial" w:eastAsia="黑体"/>
      <w:sz w:val="20"/>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0"/>
  </w:style>
  <w:style w:type="paragraph" w:styleId="10">
    <w:name w:val="table of figures"/>
    <w:basedOn w:val="1"/>
    <w:next w:val="1"/>
    <w:autoRedefine/>
    <w:qFormat/>
    <w:uiPriority w:val="0"/>
    <w:pPr>
      <w:ind w:leftChars="200" w:hanging="200" w:hangingChars="200"/>
    </w:pPr>
  </w:style>
  <w:style w:type="paragraph" w:styleId="11">
    <w:name w:val="toc 2"/>
    <w:basedOn w:val="1"/>
    <w:next w:val="1"/>
    <w:autoRedefine/>
    <w:qFormat/>
    <w:uiPriority w:val="0"/>
    <w:pPr>
      <w:ind w:left="420" w:leftChars="200"/>
    </w:pPr>
  </w:style>
  <w:style w:type="paragraph" w:styleId="12">
    <w:name w:val="Normal (Web)"/>
    <w:basedOn w:val="1"/>
    <w:autoRedefine/>
    <w:unhideWhenUsed/>
    <w:qFormat/>
    <w:uiPriority w:val="0"/>
    <w:pPr>
      <w:spacing w:before="100" w:beforeAutospacing="1" w:after="100" w:afterAutospacing="1"/>
      <w:jc w:val="left"/>
    </w:pPr>
    <w:rPr>
      <w:rFonts w:ascii="Calibri" w:hAnsi="Calibri"/>
      <w:kern w:val="0"/>
      <w:sz w:val="24"/>
    </w:rPr>
  </w:style>
  <w:style w:type="table" w:styleId="14">
    <w:name w:val="Table Grid"/>
    <w:basedOn w:val="1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Hyperlink"/>
    <w:basedOn w:val="15"/>
    <w:autoRedefine/>
    <w:qFormat/>
    <w:uiPriority w:val="0"/>
    <w:rPr>
      <w:color w:val="0000FF"/>
      <w:u w:val="single"/>
    </w:rPr>
  </w:style>
  <w:style w:type="character" w:customStyle="1" w:styleId="17">
    <w:name w:val="font51"/>
    <w:basedOn w:val="15"/>
    <w:autoRedefine/>
    <w:qFormat/>
    <w:uiPriority w:val="0"/>
    <w:rPr>
      <w:rFonts w:hint="default" w:ascii="Times New Roman" w:hAnsi="Times New Roman" w:cs="Times New Roman"/>
      <w:color w:val="000000"/>
      <w:sz w:val="24"/>
      <w:szCs w:val="24"/>
      <w:u w:val="none"/>
    </w:rPr>
  </w:style>
  <w:style w:type="paragraph" w:styleId="18">
    <w:name w:val="List Paragraph"/>
    <w:basedOn w:val="1"/>
    <w:autoRedefine/>
    <w:qFormat/>
    <w:uiPriority w:val="34"/>
    <w:pPr>
      <w:ind w:firstLine="420" w:firstLineChars="200"/>
    </w:pPr>
  </w:style>
  <w:style w:type="paragraph" w:customStyle="1" w:styleId="19">
    <w:name w:val="WPSOffice手动目录 1"/>
    <w:autoRedefine/>
    <w:qFormat/>
    <w:uiPriority w:val="0"/>
    <w:pPr>
      <w:ind w:leftChars="0"/>
    </w:pPr>
    <w:rPr>
      <w:rFonts w:ascii="Times New Roman" w:hAnsi="Times New Roman" w:eastAsia="宋体" w:cs="Times New Roman"/>
      <w:sz w:val="20"/>
      <w:szCs w:val="20"/>
    </w:rPr>
  </w:style>
  <w:style w:type="paragraph" w:customStyle="1" w:styleId="20">
    <w:name w:val="WPSOffice手动目录 2"/>
    <w:autoRedefine/>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3" Type="http://schemas.openxmlformats.org/officeDocument/2006/relationships/fontTable" Target="fontTable.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59.pn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footer" Target="footer1.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chart" Target="charts/chart2.xml"/><Relationship Id="rId38" Type="http://schemas.openxmlformats.org/officeDocument/2006/relationships/chart" Target="charts/chart1.xml"/><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802921546404733"/>
          <c:y val="0.0690899001109878"/>
          <c:w val="0.915929983629266"/>
          <c:h val="0.679078801331853"/>
        </c:manualLayout>
      </c:layout>
      <c:barChart>
        <c:barDir val="col"/>
        <c:grouping val="clustered"/>
        <c:varyColors val="0"/>
        <c:ser>
          <c:idx val="0"/>
          <c:order val="0"/>
          <c:tx>
            <c:strRef>
              <c:f>Sheet1!$B$1</c:f>
              <c:strCache>
                <c:ptCount val="1"/>
                <c:pt idx="0">
                  <c:v>2021届</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土建大类</c:v>
                </c:pt>
                <c:pt idx="1">
                  <c:v>电子信息大类</c:v>
                </c:pt>
                <c:pt idx="2">
                  <c:v>财经大类</c:v>
                </c:pt>
                <c:pt idx="3">
                  <c:v>旅游大类</c:v>
                </c:pt>
              </c:strCache>
            </c:strRef>
          </c:cat>
          <c:val>
            <c:numRef>
              <c:f>Sheet1!$B$2:$B$5</c:f>
              <c:numCache>
                <c:formatCode>General</c:formatCode>
                <c:ptCount val="4"/>
                <c:pt idx="0">
                  <c:v>72.44</c:v>
                </c:pt>
                <c:pt idx="1">
                  <c:v>16.88</c:v>
                </c:pt>
                <c:pt idx="2">
                  <c:v>4.33</c:v>
                </c:pt>
                <c:pt idx="3">
                  <c:v>6.35</c:v>
                </c:pt>
              </c:numCache>
            </c:numRef>
          </c:val>
        </c:ser>
        <c:ser>
          <c:idx val="1"/>
          <c:order val="1"/>
          <c:tx>
            <c:strRef>
              <c:f>Sheet1!$C$1</c:f>
              <c:strCache>
                <c:ptCount val="1"/>
                <c:pt idx="0">
                  <c:v>2022届</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土建大类</c:v>
                </c:pt>
                <c:pt idx="1">
                  <c:v>电子信息大类</c:v>
                </c:pt>
                <c:pt idx="2">
                  <c:v>财经大类</c:v>
                </c:pt>
                <c:pt idx="3">
                  <c:v>旅游大类</c:v>
                </c:pt>
              </c:strCache>
            </c:strRef>
          </c:cat>
          <c:val>
            <c:numRef>
              <c:f>Sheet1!$C$2:$C$5</c:f>
              <c:numCache>
                <c:formatCode>General</c:formatCode>
                <c:ptCount val="4"/>
                <c:pt idx="0">
                  <c:v>70.66</c:v>
                </c:pt>
                <c:pt idx="1">
                  <c:v>18.92</c:v>
                </c:pt>
                <c:pt idx="2">
                  <c:v>2.29</c:v>
                </c:pt>
                <c:pt idx="3">
                  <c:v>8.13</c:v>
                </c:pt>
              </c:numCache>
            </c:numRef>
          </c:val>
        </c:ser>
        <c:ser>
          <c:idx val="2"/>
          <c:order val="2"/>
          <c:tx>
            <c:strRef>
              <c:f>Sheet1!$D$1</c:f>
              <c:strCache>
                <c:ptCount val="1"/>
                <c:pt idx="0">
                  <c:v>2023届</c:v>
                </c:pt>
              </c:strCache>
            </c:strRef>
          </c:tx>
          <c:spPr>
            <a:solidFill>
              <a:schemeClr val="accent3"/>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土建大类</c:v>
                </c:pt>
                <c:pt idx="1">
                  <c:v>电子信息大类</c:v>
                </c:pt>
                <c:pt idx="2">
                  <c:v>财经大类</c:v>
                </c:pt>
                <c:pt idx="3">
                  <c:v>旅游大类</c:v>
                </c:pt>
              </c:strCache>
            </c:strRef>
          </c:cat>
          <c:val>
            <c:numRef>
              <c:f>Sheet1!$D$2:$D$5</c:f>
              <c:numCache>
                <c:formatCode>General</c:formatCode>
                <c:ptCount val="4"/>
                <c:pt idx="0">
                  <c:v>78.35</c:v>
                </c:pt>
                <c:pt idx="1">
                  <c:v>15.66</c:v>
                </c:pt>
                <c:pt idx="2">
                  <c:v>3.37</c:v>
                </c:pt>
                <c:pt idx="3">
                  <c:v>2.26</c:v>
                </c:pt>
              </c:numCache>
            </c:numRef>
          </c:val>
        </c:ser>
        <c:dLbls>
          <c:showLegendKey val="0"/>
          <c:showVal val="1"/>
          <c:showCatName val="0"/>
          <c:showSerName val="0"/>
          <c:showPercent val="0"/>
          <c:showBubbleSize val="0"/>
        </c:dLbls>
        <c:gapWidth val="219"/>
        <c:overlap val="-27"/>
        <c:axId val="844701252"/>
        <c:axId val="574342339"/>
      </c:barChart>
      <c:catAx>
        <c:axId val="84470125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74342339"/>
        <c:crosses val="autoZero"/>
        <c:auto val="1"/>
        <c:lblAlgn val="ctr"/>
        <c:lblOffset val="100"/>
        <c:noMultiLvlLbl val="0"/>
      </c:catAx>
      <c:valAx>
        <c:axId val="5743423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44701252"/>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2021届</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土建大类</c:v>
                </c:pt>
                <c:pt idx="1">
                  <c:v>电子信息大类</c:v>
                </c:pt>
                <c:pt idx="2">
                  <c:v>财经大类</c:v>
                </c:pt>
                <c:pt idx="3">
                  <c:v>旅游大类</c:v>
                </c:pt>
                <c:pt idx="4">
                  <c:v>文化教育大类</c:v>
                </c:pt>
                <c:pt idx="5">
                  <c:v>艺术设计传媒大类</c:v>
                </c:pt>
              </c:strCache>
            </c:strRef>
          </c:cat>
          <c:val>
            <c:numRef>
              <c:f>Sheet1!$B$2:$B$7</c:f>
              <c:numCache>
                <c:formatCode>General</c:formatCode>
                <c:ptCount val="6"/>
                <c:pt idx="0">
                  <c:v>2520</c:v>
                </c:pt>
                <c:pt idx="1">
                  <c:v>2497</c:v>
                </c:pt>
                <c:pt idx="2">
                  <c:v>2427</c:v>
                </c:pt>
                <c:pt idx="3">
                  <c:v>2501</c:v>
                </c:pt>
                <c:pt idx="4">
                  <c:v>2424</c:v>
                </c:pt>
                <c:pt idx="5">
                  <c:v>2492</c:v>
                </c:pt>
              </c:numCache>
            </c:numRef>
          </c:val>
        </c:ser>
        <c:ser>
          <c:idx val="1"/>
          <c:order val="1"/>
          <c:tx>
            <c:strRef>
              <c:f>Sheet1!$C$1</c:f>
              <c:strCache>
                <c:ptCount val="1"/>
                <c:pt idx="0">
                  <c:v>2022届</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土建大类</c:v>
                </c:pt>
                <c:pt idx="1">
                  <c:v>电子信息大类</c:v>
                </c:pt>
                <c:pt idx="2">
                  <c:v>财经大类</c:v>
                </c:pt>
                <c:pt idx="3">
                  <c:v>旅游大类</c:v>
                </c:pt>
                <c:pt idx="4">
                  <c:v>文化教育大类</c:v>
                </c:pt>
                <c:pt idx="5">
                  <c:v>艺术设计传媒大类</c:v>
                </c:pt>
              </c:strCache>
            </c:strRef>
          </c:cat>
          <c:val>
            <c:numRef>
              <c:f>Sheet1!$C$2:$C$7</c:f>
              <c:numCache>
                <c:formatCode>General</c:formatCode>
                <c:ptCount val="6"/>
                <c:pt idx="0">
                  <c:v>3613</c:v>
                </c:pt>
                <c:pt idx="1">
                  <c:v>4529</c:v>
                </c:pt>
                <c:pt idx="2">
                  <c:v>4423</c:v>
                </c:pt>
                <c:pt idx="3">
                  <c:v>4702</c:v>
                </c:pt>
                <c:pt idx="4">
                  <c:v>3483</c:v>
                </c:pt>
                <c:pt idx="5">
                  <c:v>3664</c:v>
                </c:pt>
              </c:numCache>
            </c:numRef>
          </c:val>
        </c:ser>
        <c:ser>
          <c:idx val="2"/>
          <c:order val="2"/>
          <c:tx>
            <c:strRef>
              <c:f>Sheet1!$D$1</c:f>
              <c:strCache>
                <c:ptCount val="1"/>
                <c:pt idx="0">
                  <c:v>2023届</c:v>
                </c:pt>
              </c:strCache>
            </c:strRef>
          </c:tx>
          <c:spPr>
            <a:solidFill>
              <a:schemeClr val="accent3"/>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土建大类</c:v>
                </c:pt>
                <c:pt idx="1">
                  <c:v>电子信息大类</c:v>
                </c:pt>
                <c:pt idx="2">
                  <c:v>财经大类</c:v>
                </c:pt>
                <c:pt idx="3">
                  <c:v>旅游大类</c:v>
                </c:pt>
                <c:pt idx="4">
                  <c:v>文化教育大类</c:v>
                </c:pt>
                <c:pt idx="5">
                  <c:v>艺术设计传媒大类</c:v>
                </c:pt>
              </c:strCache>
            </c:strRef>
          </c:cat>
          <c:val>
            <c:numRef>
              <c:f>Sheet1!$D$2:$D$7</c:f>
              <c:numCache>
                <c:formatCode>General</c:formatCode>
                <c:ptCount val="6"/>
                <c:pt idx="0">
                  <c:v>4580</c:v>
                </c:pt>
                <c:pt idx="1">
                  <c:v>5600</c:v>
                </c:pt>
                <c:pt idx="2">
                  <c:v>5212</c:v>
                </c:pt>
                <c:pt idx="3">
                  <c:v>4522</c:v>
                </c:pt>
                <c:pt idx="4">
                  <c:v>4860</c:v>
                </c:pt>
                <c:pt idx="5">
                  <c:v>4720</c:v>
                </c:pt>
              </c:numCache>
            </c:numRef>
          </c:val>
        </c:ser>
        <c:dLbls>
          <c:showLegendKey val="0"/>
          <c:showVal val="1"/>
          <c:showCatName val="0"/>
          <c:showSerName val="0"/>
          <c:showPercent val="0"/>
          <c:showBubbleSize val="0"/>
        </c:dLbls>
        <c:gapWidth val="219"/>
        <c:overlap val="-27"/>
        <c:axId val="178540298"/>
        <c:axId val="517756661"/>
      </c:barChart>
      <c:catAx>
        <c:axId val="17854029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17756661"/>
        <c:crosses val="autoZero"/>
        <c:auto val="1"/>
        <c:lblAlgn val="ctr"/>
        <c:lblOffset val="100"/>
        <c:noMultiLvlLbl val="0"/>
      </c:catAx>
      <c:valAx>
        <c:axId val="51775666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78540298"/>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89</Pages>
  <Words>34326</Words>
  <Characters>36488</Characters>
  <Lines>0</Lines>
  <Paragraphs>0</Paragraphs>
  <TotalTime>3</TotalTime>
  <ScaleCrop>false</ScaleCrop>
  <LinksUpToDate>false</LinksUpToDate>
  <CharactersWithSpaces>37857</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2023-12-04T01:33:00Z</dcterms:created>
  <dc:creator>诚实的宝宝</dc:creator>
  <cp:lastModifiedBy>诚实的宝宝</cp:lastModifiedBy>
  <dcterms:modified xsi:type="dcterms:W3CDTF">2024-01-23T05:36:12Z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E39CDF57E8514574B448CEF03C75E311_13</vt:lpwstr>
  </property>
</Properties>
</file>